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3" w:rsidRPr="004B6D91" w:rsidRDefault="00401FC6" w:rsidP="004B6D91">
      <w:pPr>
        <w:jc w:val="right"/>
      </w:pPr>
      <w:r w:rsidRPr="004B6D91">
        <w:t>(Ф</w:t>
      </w:r>
      <w:r w:rsidRPr="004B6D91">
        <w:t xml:space="preserve"> </w:t>
      </w:r>
      <w:r w:rsidRPr="004B6D91">
        <w:t>21.01 -</w:t>
      </w:r>
      <w:r w:rsidRPr="004B6D91">
        <w:t xml:space="preserve"> </w:t>
      </w:r>
      <w:r w:rsidRPr="004B6D91">
        <w:t>03)</w:t>
      </w:r>
    </w:p>
    <w:p w:rsidR="009122D9" w:rsidRPr="004B6D91" w:rsidRDefault="009122D9" w:rsidP="004B6D91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2906"/>
        <w:gridCol w:w="8"/>
        <w:gridCol w:w="7280"/>
        <w:gridCol w:w="8"/>
      </w:tblGrid>
      <w:tr w:rsidR="00921053" w:rsidRPr="004B6D91" w:rsidTr="009122D9">
        <w:trPr>
          <w:gridBefore w:val="1"/>
          <w:wBefore w:w="8" w:type="dxa"/>
          <w:trHeight w:val="2686"/>
        </w:trPr>
        <w:tc>
          <w:tcPr>
            <w:tcW w:w="2914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drawing>
                <wp:inline distT="0" distB="0" distL="0" distR="0">
                  <wp:extent cx="1685676" cy="1359673"/>
                  <wp:effectExtent l="19050" t="0" r="0" b="0"/>
                  <wp:docPr id="2" name="Рисунок 1" descr="D:\Вита\МАУП2022\Силабусы\MAUP-91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ита\МАУП2022\Силабусы\MAUP-91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53" cy="136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401FC6" w:rsidP="004B6D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Силабус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навчальної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дисципліни</w:t>
            </w:r>
          </w:p>
          <w:p w:rsidR="00921053" w:rsidRPr="004B6D91" w:rsidRDefault="00401FC6" w:rsidP="004B6D91">
            <w:pPr>
              <w:jc w:val="center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«</w:t>
            </w:r>
            <w:r w:rsidR="00B234DD" w:rsidRPr="004B6D91">
              <w:rPr>
                <w:b/>
                <w:sz w:val="24"/>
                <w:szCs w:val="24"/>
              </w:rPr>
              <w:t>БІРЖОВА ДІЯЛЬНІСТЬ</w:t>
            </w:r>
            <w:r w:rsidRPr="004B6D91">
              <w:rPr>
                <w:b/>
                <w:sz w:val="24"/>
                <w:szCs w:val="24"/>
              </w:rPr>
              <w:t>»</w:t>
            </w:r>
          </w:p>
          <w:p w:rsidR="00921053" w:rsidRPr="004B6D91" w:rsidRDefault="00921053" w:rsidP="004B6D91">
            <w:pPr>
              <w:jc w:val="center"/>
              <w:rPr>
                <w:b/>
                <w:sz w:val="24"/>
                <w:szCs w:val="24"/>
              </w:rPr>
            </w:pPr>
          </w:p>
          <w:p w:rsidR="00B234DD" w:rsidRPr="004B6D91" w:rsidRDefault="00B234DD" w:rsidP="004B6D91">
            <w:pPr>
              <w:jc w:val="center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Спеціальність: 073</w:t>
            </w:r>
            <w:r w:rsidR="00401FC6"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Менеджмент</w:t>
            </w:r>
          </w:p>
          <w:p w:rsidR="00921053" w:rsidRPr="004B6D91" w:rsidRDefault="00401FC6" w:rsidP="004B6D91">
            <w:pPr>
              <w:jc w:val="center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Галузь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знань: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="00B234DD" w:rsidRPr="004B6D91">
              <w:rPr>
                <w:b/>
                <w:sz w:val="24"/>
                <w:szCs w:val="24"/>
              </w:rPr>
              <w:t>07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="00B234DD" w:rsidRPr="004B6D91">
              <w:rPr>
                <w:b/>
                <w:sz w:val="24"/>
                <w:szCs w:val="24"/>
              </w:rPr>
              <w:t>Управління та адміністрування</w:t>
            </w:r>
          </w:p>
        </w:tc>
      </w:tr>
      <w:tr w:rsidR="00921053" w:rsidRPr="004B6D91" w:rsidTr="009122D9">
        <w:trPr>
          <w:gridBefore w:val="1"/>
          <w:wBefore w:w="8" w:type="dxa"/>
          <w:trHeight w:val="460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Рівень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вищої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Перший</w:t>
            </w:r>
            <w:r w:rsidR="00401FC6" w:rsidRPr="004B6D91">
              <w:rPr>
                <w:sz w:val="24"/>
                <w:szCs w:val="24"/>
              </w:rPr>
              <w:t xml:space="preserve"> </w:t>
            </w:r>
            <w:r w:rsidR="00401FC6" w:rsidRPr="004B6D91">
              <w:rPr>
                <w:sz w:val="24"/>
                <w:szCs w:val="24"/>
              </w:rPr>
              <w:t>(</w:t>
            </w:r>
            <w:r w:rsidRPr="004B6D91">
              <w:rPr>
                <w:sz w:val="24"/>
                <w:szCs w:val="24"/>
              </w:rPr>
              <w:t>бакалаврський</w:t>
            </w:r>
            <w:r w:rsidR="00401FC6" w:rsidRPr="004B6D91">
              <w:rPr>
                <w:sz w:val="24"/>
                <w:szCs w:val="24"/>
              </w:rPr>
              <w:t>)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Статус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Навчальна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дисципліна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вибіркового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компонента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з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фахового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переліку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2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(другий)</w:t>
            </w:r>
          </w:p>
        </w:tc>
      </w:tr>
      <w:tr w:rsidR="00921053" w:rsidRPr="004B6D91" w:rsidTr="009122D9">
        <w:trPr>
          <w:gridBefore w:val="1"/>
          <w:wBefore w:w="8" w:type="dxa"/>
          <w:trHeight w:val="971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Обсяг дисципліни,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кредити ЄКТС/загальна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кількість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3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кредити/90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годин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Мова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викладання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Українська</w:t>
            </w:r>
          </w:p>
        </w:tc>
      </w:tr>
      <w:tr w:rsidR="00921053" w:rsidRPr="004B6D91" w:rsidTr="009122D9">
        <w:trPr>
          <w:gridBefore w:val="1"/>
          <w:wBefore w:w="8" w:type="dxa"/>
          <w:trHeight w:val="1301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Що буде вивчатися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(предмет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365DA1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Предметом вивчення є біржова діяльність в еволюційному розвитку. Крім того, дисципліна передбачає формування у студентів практичних навичок в орієнтуванні у біржовій інформації та її використання для оцінювання та прогнозування економічної ситуації. </w:t>
            </w:r>
          </w:p>
        </w:tc>
      </w:tr>
      <w:tr w:rsidR="00921053" w:rsidRPr="004B6D91" w:rsidTr="009122D9">
        <w:trPr>
          <w:gridBefore w:val="1"/>
          <w:wBefore w:w="8" w:type="dxa"/>
          <w:trHeight w:val="979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Чому це цікаво/потрібно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вивчати (мета)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365DA1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Формування у майбутнього фахівця теоретичних основ та практичних навиків з біржової діяльності та ефективного використання біржових операцій в своїй майбутній діяльності </w:t>
            </w:r>
          </w:p>
        </w:tc>
      </w:tr>
      <w:tr w:rsidR="00921053" w:rsidRPr="004B6D91" w:rsidTr="00401FC6">
        <w:trPr>
          <w:gridBefore w:val="1"/>
          <w:wBefore w:w="8" w:type="dxa"/>
          <w:trHeight w:val="1479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Чому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можна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навчитися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(результати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−</w:t>
            </w:r>
            <w:r w:rsidRPr="004B6D91">
              <w:rPr>
                <w:sz w:val="24"/>
                <w:szCs w:val="24"/>
              </w:rPr>
              <w:tab/>
            </w:r>
            <w:r w:rsidR="00365DA1" w:rsidRPr="004B6D91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−</w:t>
            </w:r>
            <w:r w:rsidRPr="004B6D91">
              <w:rPr>
                <w:sz w:val="24"/>
                <w:szCs w:val="24"/>
              </w:rPr>
              <w:tab/>
            </w:r>
            <w:r w:rsidR="00365DA1" w:rsidRPr="004B6D91">
              <w:rPr>
                <w:sz w:val="24"/>
                <w:szCs w:val="24"/>
              </w:rPr>
              <w:t xml:space="preserve">Здатність бути критичними і самокритичними </w:t>
            </w:r>
          </w:p>
        </w:tc>
      </w:tr>
      <w:tr w:rsidR="00921053" w:rsidRPr="004B6D91" w:rsidTr="009122D9">
        <w:trPr>
          <w:gridBefore w:val="1"/>
          <w:wBefore w:w="8" w:type="dxa"/>
          <w:trHeight w:val="1364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Як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можна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користуватися набутими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знаннями і вміннями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365DA1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Здатність до пошуку, оброблення та аналізу інформації з різних джерел, здатність забезпечувати дотримання нормативно-правових та морально-етичних норм поведінки 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257"/>
        </w:trPr>
        <w:tc>
          <w:tcPr>
            <w:tcW w:w="2914" w:type="dxa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Навчальна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логістика</w:t>
            </w:r>
          </w:p>
        </w:tc>
        <w:tc>
          <w:tcPr>
            <w:tcW w:w="7288" w:type="dxa"/>
            <w:gridSpan w:val="2"/>
            <w:tcBorders>
              <w:bottom w:val="single" w:sz="6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Зміст дисципліни</w:t>
            </w:r>
            <w:r w:rsidRPr="004B6D91">
              <w:rPr>
                <w:sz w:val="24"/>
                <w:szCs w:val="24"/>
              </w:rPr>
              <w:t xml:space="preserve">: </w:t>
            </w:r>
            <w:r w:rsidR="00492952" w:rsidRPr="004B6D91">
              <w:rPr>
                <w:sz w:val="24"/>
                <w:szCs w:val="24"/>
              </w:rPr>
              <w:t>Сутність біржової торгівлі та історія її еволюції</w:t>
            </w:r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>Біржа як організатор торгівлі на ринку</w:t>
            </w:r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 xml:space="preserve">Організаційна структура та управління </w:t>
            </w:r>
            <w:proofErr w:type="spellStart"/>
            <w:r w:rsidR="00492952" w:rsidRPr="004B6D91">
              <w:rPr>
                <w:sz w:val="24"/>
                <w:szCs w:val="24"/>
              </w:rPr>
              <w:t>біржою</w:t>
            </w:r>
            <w:proofErr w:type="spellEnd"/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>Технологічні засади біржової торгівлі</w:t>
            </w:r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>Брокерська діяльність</w:t>
            </w:r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>Ф’ючерсний контракт</w:t>
            </w:r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>Клірингова палата</w:t>
            </w:r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 xml:space="preserve">Основи </w:t>
            </w:r>
            <w:proofErr w:type="spellStart"/>
            <w:r w:rsidR="00492952" w:rsidRPr="004B6D91">
              <w:rPr>
                <w:sz w:val="24"/>
                <w:szCs w:val="24"/>
              </w:rPr>
              <w:t>хеджування</w:t>
            </w:r>
            <w:proofErr w:type="spellEnd"/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>Біржова спекуляція</w:t>
            </w:r>
            <w:r w:rsidR="00ED55E8" w:rsidRPr="004B6D91">
              <w:rPr>
                <w:sz w:val="24"/>
                <w:szCs w:val="24"/>
              </w:rPr>
              <w:t xml:space="preserve">. </w:t>
            </w:r>
            <w:r w:rsidR="00492952" w:rsidRPr="004B6D91">
              <w:rPr>
                <w:sz w:val="24"/>
                <w:szCs w:val="24"/>
              </w:rPr>
              <w:t>Спекулятивні стратегії</w:t>
            </w:r>
            <w:r w:rsidR="00ED55E8" w:rsidRPr="004B6D91">
              <w:rPr>
                <w:sz w:val="24"/>
                <w:szCs w:val="24"/>
              </w:rPr>
              <w:t xml:space="preserve"> .</w:t>
            </w:r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Види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занять: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лекц</w:t>
            </w:r>
            <w:r w:rsidRPr="004B6D91">
              <w:rPr>
                <w:sz w:val="24"/>
                <w:szCs w:val="24"/>
              </w:rPr>
              <w:t>ії,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семінарські</w:t>
            </w:r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Методи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навчальна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дискусія,</w:t>
            </w:r>
            <w:r w:rsidRPr="004B6D91">
              <w:rPr>
                <w:sz w:val="24"/>
                <w:szCs w:val="24"/>
              </w:rPr>
              <w:t xml:space="preserve"> </w:t>
            </w:r>
            <w:proofErr w:type="spellStart"/>
            <w:r w:rsidRPr="004B6D91">
              <w:rPr>
                <w:sz w:val="24"/>
                <w:szCs w:val="24"/>
              </w:rPr>
              <w:t>онлайн</w:t>
            </w:r>
            <w:proofErr w:type="spellEnd"/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Форми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</w:t>
            </w:r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очна,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дистанційна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5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Знання з </w:t>
            </w:r>
            <w:r w:rsidR="00ED55E8" w:rsidRPr="004B6D91">
              <w:rPr>
                <w:b/>
                <w:sz w:val="24"/>
                <w:szCs w:val="24"/>
              </w:rPr>
              <w:t>дисциплін:</w:t>
            </w:r>
            <w:r w:rsidR="00ED55E8" w:rsidRPr="004B6D91">
              <w:rPr>
                <w:sz w:val="24"/>
                <w:szCs w:val="24"/>
              </w:rPr>
              <w:t xml:space="preserve"> «Ринок фінансових послуг», «Фінансовий ринок», «Ринок цінних паперів», «Державне регулювання економіки».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72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Знання з теорії розвитку можуть бути використані під час написання</w:t>
            </w:r>
            <w:r w:rsidRPr="004B6D91">
              <w:rPr>
                <w:sz w:val="24"/>
                <w:szCs w:val="24"/>
              </w:rPr>
              <w:t xml:space="preserve"> </w:t>
            </w:r>
            <w:r w:rsidR="00ED55E8" w:rsidRPr="004B6D91">
              <w:rPr>
                <w:sz w:val="24"/>
                <w:szCs w:val="24"/>
              </w:rPr>
              <w:t>бакалаврської</w:t>
            </w:r>
            <w:r w:rsidRPr="004B6D91">
              <w:rPr>
                <w:sz w:val="24"/>
                <w:szCs w:val="24"/>
              </w:rPr>
              <w:t xml:space="preserve"> роботи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3009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lastRenderedPageBreak/>
              <w:t>Інформаційне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забезпечення</w:t>
            </w:r>
          </w:p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D55E8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1. Брокерська діяльність: посібник / М.О. Солодкий, Т.Ю. </w:t>
            </w:r>
            <w:proofErr w:type="spellStart"/>
            <w:r w:rsidRPr="004B6D91">
              <w:rPr>
                <w:sz w:val="24"/>
                <w:szCs w:val="24"/>
              </w:rPr>
              <w:t>Андросович</w:t>
            </w:r>
            <w:proofErr w:type="spellEnd"/>
            <w:r w:rsidRPr="004B6D91">
              <w:rPr>
                <w:sz w:val="24"/>
                <w:szCs w:val="24"/>
              </w:rPr>
              <w:t xml:space="preserve">, В.О. </w:t>
            </w:r>
            <w:proofErr w:type="spellStart"/>
            <w:r w:rsidRPr="004B6D91">
              <w:rPr>
                <w:sz w:val="24"/>
                <w:szCs w:val="24"/>
              </w:rPr>
              <w:t>Яворська</w:t>
            </w:r>
            <w:proofErr w:type="spellEnd"/>
            <w:r w:rsidRPr="004B6D91">
              <w:rPr>
                <w:sz w:val="24"/>
                <w:szCs w:val="24"/>
              </w:rPr>
              <w:t xml:space="preserve">, Ю.В. Рубан Київ: ЦП </w:t>
            </w:r>
            <w:proofErr w:type="spellStart"/>
            <w:r w:rsidRPr="004B6D91">
              <w:rPr>
                <w:sz w:val="24"/>
                <w:szCs w:val="24"/>
              </w:rPr>
              <w:t>Компринт</w:t>
            </w:r>
            <w:proofErr w:type="spellEnd"/>
            <w:r w:rsidRPr="004B6D91">
              <w:rPr>
                <w:sz w:val="24"/>
                <w:szCs w:val="24"/>
              </w:rPr>
              <w:t xml:space="preserve"> 2013. 125 с. </w:t>
            </w:r>
          </w:p>
          <w:p w:rsidR="00ED55E8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2. Міжнародний фондовий ринок: </w:t>
            </w:r>
            <w:proofErr w:type="spellStart"/>
            <w:r w:rsidRPr="004B6D91">
              <w:rPr>
                <w:sz w:val="24"/>
                <w:szCs w:val="24"/>
              </w:rPr>
              <w:t>навч</w:t>
            </w:r>
            <w:proofErr w:type="spellEnd"/>
            <w:r w:rsidRPr="004B6D91">
              <w:rPr>
                <w:sz w:val="24"/>
                <w:szCs w:val="24"/>
              </w:rPr>
              <w:t xml:space="preserve">. </w:t>
            </w:r>
            <w:proofErr w:type="spellStart"/>
            <w:r w:rsidRPr="004B6D91">
              <w:rPr>
                <w:sz w:val="24"/>
                <w:szCs w:val="24"/>
              </w:rPr>
              <w:t>посіб.-практикум</w:t>
            </w:r>
            <w:proofErr w:type="spellEnd"/>
            <w:r w:rsidRPr="004B6D91">
              <w:rPr>
                <w:sz w:val="24"/>
                <w:szCs w:val="24"/>
              </w:rPr>
              <w:t xml:space="preserve"> / [О.Є.Кузьмін та ін.]. Львів: Вид-во Львів. політехніки, 2015. 334 с. </w:t>
            </w:r>
          </w:p>
          <w:p w:rsidR="00ED55E8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3. Основи біржової діяльності: посібник для студентів вищих навчальних закладів / М.О. Солодкий, С.А. </w:t>
            </w:r>
            <w:proofErr w:type="spellStart"/>
            <w:r w:rsidRPr="004B6D91">
              <w:rPr>
                <w:sz w:val="24"/>
                <w:szCs w:val="24"/>
              </w:rPr>
              <w:t>Стасіневич</w:t>
            </w:r>
            <w:proofErr w:type="spellEnd"/>
            <w:r w:rsidRPr="004B6D91">
              <w:rPr>
                <w:sz w:val="24"/>
                <w:szCs w:val="24"/>
              </w:rPr>
              <w:t xml:space="preserve">, Т.Ю. </w:t>
            </w:r>
            <w:proofErr w:type="spellStart"/>
            <w:r w:rsidRPr="004B6D91">
              <w:rPr>
                <w:sz w:val="24"/>
                <w:szCs w:val="24"/>
              </w:rPr>
              <w:t>Андросович</w:t>
            </w:r>
            <w:proofErr w:type="spellEnd"/>
            <w:r w:rsidRPr="004B6D91">
              <w:rPr>
                <w:sz w:val="24"/>
                <w:szCs w:val="24"/>
              </w:rPr>
              <w:t xml:space="preserve">. Київ: ВЦ </w:t>
            </w:r>
            <w:proofErr w:type="spellStart"/>
            <w:r w:rsidRPr="004B6D91">
              <w:rPr>
                <w:sz w:val="24"/>
                <w:szCs w:val="24"/>
              </w:rPr>
              <w:t>НУБіП</w:t>
            </w:r>
            <w:proofErr w:type="spellEnd"/>
            <w:r w:rsidRPr="004B6D91">
              <w:rPr>
                <w:sz w:val="24"/>
                <w:szCs w:val="24"/>
              </w:rPr>
              <w:t xml:space="preserve"> України, 2013. 210 с. </w:t>
            </w:r>
          </w:p>
          <w:p w:rsidR="00ED55E8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4. Солодкий М.О. Біржовий ринок: навчальний посібник/ М.О. Солодкий. Київ: Аграрна освіта, 2010. 565с. </w:t>
            </w:r>
          </w:p>
          <w:p w:rsidR="00921053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5. Солодкий М.О. та </w:t>
            </w:r>
            <w:proofErr w:type="spellStart"/>
            <w:r w:rsidRPr="004B6D91">
              <w:rPr>
                <w:sz w:val="24"/>
                <w:szCs w:val="24"/>
              </w:rPr>
              <w:t>ін</w:t>
            </w:r>
            <w:proofErr w:type="spellEnd"/>
            <w:r w:rsidRPr="004B6D91">
              <w:rPr>
                <w:sz w:val="24"/>
                <w:szCs w:val="24"/>
              </w:rPr>
              <w:t xml:space="preserve">, всього 5 авторів. Біржовий ринок: проблеми функціонування та тенденції інноваційного розвитку: Монографія. Київ: ЦП </w:t>
            </w:r>
            <w:proofErr w:type="spellStart"/>
            <w:r w:rsidRPr="004B6D91">
              <w:rPr>
                <w:sz w:val="24"/>
                <w:szCs w:val="24"/>
              </w:rPr>
              <w:t>Компрінт</w:t>
            </w:r>
            <w:proofErr w:type="spellEnd"/>
            <w:r w:rsidRPr="004B6D91">
              <w:rPr>
                <w:sz w:val="24"/>
                <w:szCs w:val="24"/>
              </w:rPr>
              <w:t xml:space="preserve">, 2013. 215 с. 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8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Локація та </w:t>
            </w:r>
            <w:proofErr w:type="spellStart"/>
            <w:r w:rsidRPr="004B6D91">
              <w:rPr>
                <w:b/>
                <w:sz w:val="24"/>
                <w:szCs w:val="24"/>
              </w:rPr>
              <w:t>матеріально-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технічне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Аудиторія теоретичного навчання,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проектор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9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Семестровий контроль,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екзаменаційна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методика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Залік,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тестування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0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Менеджменту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0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D55E8" w:rsidRPr="004B6D91" w:rsidRDefault="00ED55E8" w:rsidP="004B6D91">
            <w:pPr>
              <w:jc w:val="both"/>
              <w:rPr>
                <w:sz w:val="24"/>
                <w:szCs w:val="24"/>
              </w:rPr>
            </w:pPr>
            <w:proofErr w:type="spellStart"/>
            <w:r w:rsidRPr="004B6D91">
              <w:rPr>
                <w:sz w:val="24"/>
                <w:szCs w:val="24"/>
              </w:rPr>
              <w:t>ПрАТ</w:t>
            </w:r>
            <w:proofErr w:type="spellEnd"/>
            <w:r w:rsidRPr="004B6D91">
              <w:rPr>
                <w:sz w:val="24"/>
                <w:szCs w:val="24"/>
              </w:rPr>
              <w:t xml:space="preserve"> «ВНЗ «Міжрегіональна Академія управління персоналом»</w:t>
            </w:r>
          </w:p>
          <w:p w:rsidR="00921053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Харківський інститут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073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Викладач(і)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D55E8" w:rsidRPr="004B6D91" w:rsidRDefault="00ED55E8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ЯНКОВСЬКА ВІКТОРІЯ АНАТОЛІЇВНА </w:t>
            </w:r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Посада</w:t>
            </w:r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доцент</w:t>
            </w:r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Вчене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звання</w:t>
            </w:r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доцент</w:t>
            </w:r>
          </w:p>
          <w:p w:rsidR="009122D9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Науковий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ступінь: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кандидат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педагогічних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наук</w:t>
            </w:r>
            <w:r w:rsidRPr="004B6D91">
              <w:rPr>
                <w:sz w:val="24"/>
                <w:szCs w:val="24"/>
              </w:rPr>
              <w:t xml:space="preserve"> </w:t>
            </w:r>
          </w:p>
          <w:p w:rsidR="00ED55E8" w:rsidRPr="004B6D91" w:rsidRDefault="00401FC6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Профайл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викладача: </w:t>
            </w:r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Тел.:</w:t>
            </w:r>
            <w:r w:rsidRPr="004B6D91">
              <w:rPr>
                <w:sz w:val="24"/>
                <w:szCs w:val="24"/>
              </w:rPr>
              <w:t xml:space="preserve"> </w:t>
            </w:r>
            <w:r w:rsidR="00ED55E8" w:rsidRPr="004B6D91">
              <w:rPr>
                <w:sz w:val="24"/>
                <w:szCs w:val="24"/>
              </w:rPr>
              <w:t>+38(050)-688-37-52</w:t>
            </w:r>
          </w:p>
          <w:p w:rsidR="00921053" w:rsidRPr="004B6D91" w:rsidRDefault="00401FC6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E-</w:t>
            </w:r>
            <w:proofErr w:type="spellStart"/>
            <w:r w:rsidRPr="004B6D91">
              <w:rPr>
                <w:b/>
                <w:sz w:val="24"/>
                <w:szCs w:val="24"/>
              </w:rPr>
              <w:t>mail</w:t>
            </w:r>
            <w:proofErr w:type="spellEnd"/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hyperlink r:id="rId6" w:history="1">
              <w:r w:rsidR="009122D9" w:rsidRPr="004B6D91">
                <w:rPr>
                  <w:rStyle w:val="a9"/>
                  <w:sz w:val="24"/>
                  <w:szCs w:val="24"/>
                </w:rPr>
                <w:t>vika_yank2020@ukr.net</w:t>
              </w:r>
            </w:hyperlink>
          </w:p>
        </w:tc>
      </w:tr>
      <w:tr w:rsidR="009122D9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836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122D9" w:rsidRPr="004B6D91" w:rsidRDefault="009122D9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D9" w:rsidRPr="004B6D91" w:rsidRDefault="009122D9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Авторський курс, викладання українською мовою</w:t>
            </w:r>
          </w:p>
        </w:tc>
      </w:tr>
      <w:tr w:rsidR="009122D9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537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122D9" w:rsidRPr="004B6D91" w:rsidRDefault="009122D9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Лінк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D9" w:rsidRPr="004B6D91" w:rsidRDefault="009122D9" w:rsidP="004B6D91">
            <w:pPr>
              <w:jc w:val="both"/>
              <w:rPr>
                <w:sz w:val="24"/>
                <w:szCs w:val="24"/>
              </w:rPr>
            </w:pPr>
          </w:p>
        </w:tc>
      </w:tr>
    </w:tbl>
    <w:p w:rsidR="004B6D91" w:rsidRPr="004B6D91" w:rsidRDefault="004B6D91" w:rsidP="004B6D91">
      <w:pPr>
        <w:jc w:val="both"/>
        <w:rPr>
          <w:sz w:val="24"/>
          <w:szCs w:val="24"/>
        </w:rPr>
      </w:pPr>
    </w:p>
    <w:p w:rsidR="004B6D91" w:rsidRDefault="004B6D91" w:rsidP="004B6D91"/>
    <w:p w:rsidR="004B6D91" w:rsidRDefault="004B6D91" w:rsidP="004B6D91"/>
    <w:p w:rsidR="00921053" w:rsidRPr="004B6D91" w:rsidRDefault="00401FC6" w:rsidP="004B6D91">
      <w:r w:rsidRPr="004B6D91">
        <w:t>Завідувач</w:t>
      </w:r>
      <w:r w:rsidRPr="004B6D91">
        <w:t xml:space="preserve"> </w:t>
      </w:r>
      <w:r w:rsidRPr="004B6D91">
        <w:t>кафедри</w:t>
      </w:r>
      <w:r w:rsidRP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9122D9" w:rsidRPr="004B6D91">
        <w:t xml:space="preserve">О.С. </w:t>
      </w:r>
      <w:proofErr w:type="spellStart"/>
      <w:r w:rsidR="009122D9" w:rsidRPr="004B6D91">
        <w:t>Телепнєва</w:t>
      </w:r>
      <w:proofErr w:type="spellEnd"/>
    </w:p>
    <w:p w:rsidR="00921053" w:rsidRPr="004B6D91" w:rsidRDefault="00921053" w:rsidP="004B6D91"/>
    <w:p w:rsidR="00921053" w:rsidRPr="004B6D91" w:rsidRDefault="00921053" w:rsidP="004B6D91"/>
    <w:p w:rsidR="00921053" w:rsidRPr="004B6D91" w:rsidRDefault="00401FC6" w:rsidP="004B6D91">
      <w:r w:rsidRPr="004B6D91">
        <w:t>Розробник</w:t>
      </w:r>
      <w:r w:rsidRP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9122D9" w:rsidRPr="004B6D91">
        <w:t>В.А. Янковська</w:t>
      </w:r>
    </w:p>
    <w:p w:rsidR="00492952" w:rsidRPr="004B6D91" w:rsidRDefault="00492952" w:rsidP="004B6D91"/>
    <w:sectPr w:rsidR="00492952" w:rsidRPr="004B6D91" w:rsidSect="00921053">
      <w:pgSz w:w="11900" w:h="16850"/>
      <w:pgMar w:top="980" w:right="3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0B1"/>
    <w:multiLevelType w:val="hybridMultilevel"/>
    <w:tmpl w:val="7E261990"/>
    <w:lvl w:ilvl="0" w:tplc="26A4C17E">
      <w:start w:val="1"/>
      <w:numFmt w:val="decimal"/>
      <w:lvlText w:val="%1."/>
      <w:lvlJc w:val="left"/>
      <w:pPr>
        <w:ind w:left="398" w:hanging="284"/>
      </w:pPr>
      <w:rPr>
        <w:rFonts w:hint="default"/>
        <w:w w:val="100"/>
        <w:lang w:val="uk-UA" w:eastAsia="en-US" w:bidi="ar-SA"/>
      </w:rPr>
    </w:lvl>
    <w:lvl w:ilvl="1" w:tplc="8CF037B2">
      <w:numFmt w:val="bullet"/>
      <w:lvlText w:val="•"/>
      <w:lvlJc w:val="left"/>
      <w:pPr>
        <w:ind w:left="1087" w:hanging="284"/>
      </w:pPr>
      <w:rPr>
        <w:rFonts w:hint="default"/>
        <w:lang w:val="uk-UA" w:eastAsia="en-US" w:bidi="ar-SA"/>
      </w:rPr>
    </w:lvl>
    <w:lvl w:ilvl="2" w:tplc="F2D67CC4">
      <w:numFmt w:val="bullet"/>
      <w:lvlText w:val="•"/>
      <w:lvlJc w:val="left"/>
      <w:pPr>
        <w:ind w:left="1775" w:hanging="284"/>
      </w:pPr>
      <w:rPr>
        <w:rFonts w:hint="default"/>
        <w:lang w:val="uk-UA" w:eastAsia="en-US" w:bidi="ar-SA"/>
      </w:rPr>
    </w:lvl>
    <w:lvl w:ilvl="3" w:tplc="DE248A04">
      <w:numFmt w:val="bullet"/>
      <w:lvlText w:val="•"/>
      <w:lvlJc w:val="left"/>
      <w:pPr>
        <w:ind w:left="2463" w:hanging="284"/>
      </w:pPr>
      <w:rPr>
        <w:rFonts w:hint="default"/>
        <w:lang w:val="uk-UA" w:eastAsia="en-US" w:bidi="ar-SA"/>
      </w:rPr>
    </w:lvl>
    <w:lvl w:ilvl="4" w:tplc="49B0322A">
      <w:numFmt w:val="bullet"/>
      <w:lvlText w:val="•"/>
      <w:lvlJc w:val="left"/>
      <w:pPr>
        <w:ind w:left="3151" w:hanging="284"/>
      </w:pPr>
      <w:rPr>
        <w:rFonts w:hint="default"/>
        <w:lang w:val="uk-UA" w:eastAsia="en-US" w:bidi="ar-SA"/>
      </w:rPr>
    </w:lvl>
    <w:lvl w:ilvl="5" w:tplc="02C6B4FA">
      <w:numFmt w:val="bullet"/>
      <w:lvlText w:val="•"/>
      <w:lvlJc w:val="left"/>
      <w:pPr>
        <w:ind w:left="3839" w:hanging="284"/>
      </w:pPr>
      <w:rPr>
        <w:rFonts w:hint="default"/>
        <w:lang w:val="uk-UA" w:eastAsia="en-US" w:bidi="ar-SA"/>
      </w:rPr>
    </w:lvl>
    <w:lvl w:ilvl="6" w:tplc="8EBC494C">
      <w:numFmt w:val="bullet"/>
      <w:lvlText w:val="•"/>
      <w:lvlJc w:val="left"/>
      <w:pPr>
        <w:ind w:left="4526" w:hanging="284"/>
      </w:pPr>
      <w:rPr>
        <w:rFonts w:hint="default"/>
        <w:lang w:val="uk-UA" w:eastAsia="en-US" w:bidi="ar-SA"/>
      </w:rPr>
    </w:lvl>
    <w:lvl w:ilvl="7" w:tplc="647454C2">
      <w:numFmt w:val="bullet"/>
      <w:lvlText w:val="•"/>
      <w:lvlJc w:val="left"/>
      <w:pPr>
        <w:ind w:left="5214" w:hanging="284"/>
      </w:pPr>
      <w:rPr>
        <w:rFonts w:hint="default"/>
        <w:lang w:val="uk-UA" w:eastAsia="en-US" w:bidi="ar-SA"/>
      </w:rPr>
    </w:lvl>
    <w:lvl w:ilvl="8" w:tplc="13A868B4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</w:abstractNum>
  <w:abstractNum w:abstractNumId="1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053"/>
    <w:rsid w:val="00171F5A"/>
    <w:rsid w:val="00327CA5"/>
    <w:rsid w:val="00365DA1"/>
    <w:rsid w:val="00401FC6"/>
    <w:rsid w:val="00492952"/>
    <w:rsid w:val="004B6D91"/>
    <w:rsid w:val="009122D9"/>
    <w:rsid w:val="00921053"/>
    <w:rsid w:val="00B234DD"/>
    <w:rsid w:val="00ED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05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053"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21053"/>
  </w:style>
  <w:style w:type="paragraph" w:customStyle="1" w:styleId="TableParagraph">
    <w:name w:val="Table Paragraph"/>
    <w:basedOn w:val="a"/>
    <w:uiPriority w:val="1"/>
    <w:qFormat/>
    <w:rsid w:val="00921053"/>
    <w:pPr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171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5A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rsid w:val="00365DA1"/>
    <w:pPr>
      <w:widowControl/>
      <w:autoSpaceDE/>
      <w:autoSpaceDN/>
      <w:spacing w:after="120"/>
      <w:ind w:left="283"/>
    </w:pPr>
    <w:rPr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65D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912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_yank2020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Шаповалов</dc:creator>
  <cp:lastModifiedBy>User</cp:lastModifiedBy>
  <cp:revision>6</cp:revision>
  <dcterms:created xsi:type="dcterms:W3CDTF">2023-06-26T10:16:00Z</dcterms:created>
  <dcterms:modified xsi:type="dcterms:W3CDTF">2023-06-26T11:00:00Z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