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0" w:rsidRDefault="00EC2FC5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«ВНЗ </w:t>
      </w:r>
      <w:r>
        <w:rPr>
          <w:b/>
          <w:sz w:val="24"/>
          <w:szCs w:val="24"/>
          <w:lang w:val="uk-UA"/>
        </w:rPr>
        <w:t>«Міжрегіональна Академія управління персоналом»</w:t>
      </w:r>
    </w:p>
    <w:p w:rsidR="00824F20" w:rsidRDefault="00EC2FC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Харківський інститут </w:t>
      </w:r>
      <w:proofErr w:type="spellStart"/>
      <w:r>
        <w:rPr>
          <w:b/>
          <w:sz w:val="24"/>
          <w:szCs w:val="24"/>
          <w:lang w:val="uk-UA"/>
        </w:rPr>
        <w:t>ПрАТ</w:t>
      </w:r>
      <w:proofErr w:type="spellEnd"/>
      <w:r>
        <w:rPr>
          <w:b/>
          <w:sz w:val="24"/>
          <w:szCs w:val="24"/>
          <w:lang w:val="uk-UA"/>
        </w:rPr>
        <w:t xml:space="preserve"> “ВНЗ “МАУП”</w:t>
      </w:r>
    </w:p>
    <w:p w:rsidR="00824F20" w:rsidRDefault="00EC2FC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Кафедра  Економіки та підприємництва</w:t>
      </w:r>
    </w:p>
    <w:p w:rsidR="00824F20" w:rsidRDefault="00824F20">
      <w:pPr>
        <w:jc w:val="center"/>
        <w:rPr>
          <w:b/>
          <w:sz w:val="24"/>
          <w:szCs w:val="24"/>
          <w:lang w:val="uk-UA"/>
        </w:rPr>
      </w:pPr>
    </w:p>
    <w:p w:rsidR="00824F20" w:rsidRDefault="00EC2FC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СИЛАБУС КУРСУ</w:t>
      </w:r>
    </w:p>
    <w:tbl>
      <w:tblPr>
        <w:tblW w:w="9640" w:type="dxa"/>
        <w:tblInd w:w="-164" w:type="dxa"/>
        <w:tblLayout w:type="fixed"/>
        <w:tblLook w:val="04A0"/>
      </w:tblPr>
      <w:tblGrid>
        <w:gridCol w:w="2836"/>
        <w:gridCol w:w="6804"/>
      </w:tblGrid>
      <w:tr w:rsidR="00824F20">
        <w:trPr>
          <w:trHeight w:val="12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tabs>
                <w:tab w:val="left" w:pos="10065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Фінанси підприємства</w:t>
            </w:r>
          </w:p>
        </w:tc>
      </w:tr>
      <w:tr w:rsidR="00824F20">
        <w:trPr>
          <w:trHeight w:val="80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Співакова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</w:tr>
      <w:tr w:rsidR="00824F20">
        <w:trPr>
          <w:trHeight w:val="19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 8 066-916-14-71</w:t>
            </w:r>
          </w:p>
        </w:tc>
      </w:tr>
      <w:tr w:rsidR="00824F20">
        <w:trPr>
          <w:trHeight w:val="143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Nadushkin76</w:t>
            </w:r>
            <w:r>
              <w:rPr>
                <w:i/>
                <w:sz w:val="24"/>
                <w:szCs w:val="24"/>
                <w:lang w:val="uk-UA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ukr.net</w:t>
            </w:r>
          </w:p>
        </w:tc>
      </w:tr>
      <w:tr w:rsidR="00824F20">
        <w:trPr>
          <w:trHeight w:val="16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4F20" w:rsidRDefault="00EC2FC5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Вівторок, 1 год., 14:00-15:00,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>. 33</w:t>
            </w:r>
          </w:p>
        </w:tc>
      </w:tr>
    </w:tbl>
    <w:p w:rsidR="00824F20" w:rsidRDefault="00EC2FC5">
      <w:pPr>
        <w:ind w:leftChars="-100" w:left="-2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1.Коротка анотація до дисципліни. </w:t>
      </w:r>
      <w:r>
        <w:rPr>
          <w:sz w:val="24"/>
          <w:szCs w:val="24"/>
          <w:lang w:val="uk-UA"/>
        </w:rPr>
        <w:t xml:space="preserve">Програма та тематичний план дисципліни «Фінанси підприємства» </w:t>
      </w:r>
      <w:r>
        <w:rPr>
          <w:sz w:val="24"/>
          <w:szCs w:val="24"/>
          <w:lang w:val="uk-UA"/>
        </w:rPr>
        <w:t>присвячений вивченню особливостей функціонування як фінансової структури підприємства, так і її окремих елементів. Багато уваги приділяється аналізу та операціям з грошовими коштами та їх еквівалентами, формуванню доходів та видатків, оцінці фінансового ст</w:t>
      </w:r>
      <w:r>
        <w:rPr>
          <w:sz w:val="24"/>
          <w:szCs w:val="24"/>
          <w:lang w:val="uk-UA"/>
        </w:rPr>
        <w:t>ану, плануванню та фінансуванню фінансової діяльності, діагностиці фінансової кризи та проведення фінансової санації. Також визначаються можливості удосконалення фінансової роботи підприємства.</w:t>
      </w:r>
    </w:p>
    <w:p w:rsidR="00824F20" w:rsidRDefault="00EC2FC5">
      <w:pPr>
        <w:ind w:leftChars="-100" w:left="-2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 Мета</w:t>
      </w:r>
      <w:r>
        <w:rPr>
          <w:sz w:val="24"/>
          <w:szCs w:val="24"/>
          <w:lang w:val="uk-UA"/>
        </w:rPr>
        <w:t xml:space="preserve"> дисципліни є набуття майбутнім економістом  основи знань, необхідних для праці, яка пов’язана з фінансами, розкриття механізму функціонування суб’єктів підприємництва на основі мікроекономічних теорій, концепцій, моделей, обґрунтованих світовою та вітчизн</w:t>
      </w:r>
      <w:r>
        <w:rPr>
          <w:sz w:val="24"/>
          <w:szCs w:val="24"/>
          <w:lang w:val="uk-UA"/>
        </w:rPr>
        <w:t>яною наукою й апробованих економічною практикою.</w:t>
      </w:r>
    </w:p>
    <w:p w:rsidR="00824F20" w:rsidRDefault="00EC2FC5">
      <w:pPr>
        <w:ind w:leftChars="-100" w:left="-2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3. Завдання </w:t>
      </w:r>
      <w:r>
        <w:rPr>
          <w:sz w:val="24"/>
          <w:szCs w:val="24"/>
          <w:lang w:val="uk-UA"/>
        </w:rPr>
        <w:t>дисципліни «Фінанси підприємства»  полягає в   вивченні теоретичних і практичних основ фінансів, у процесі пізнання суті їх основних функцій, принципів їх реалізації, в сучасних умовах діяльності</w:t>
      </w:r>
      <w:r>
        <w:rPr>
          <w:sz w:val="24"/>
          <w:szCs w:val="24"/>
          <w:lang w:val="uk-UA"/>
        </w:rPr>
        <w:t xml:space="preserve"> фірм, підприємств та організацій.</w:t>
      </w:r>
    </w:p>
    <w:p w:rsidR="00824F20" w:rsidRDefault="00EC2FC5">
      <w:pPr>
        <w:ind w:left="-284"/>
        <w:jc w:val="both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>
        <w:rPr>
          <w:b/>
          <w:color w:val="FF0000"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Формат курсу. </w:t>
      </w:r>
      <w:r>
        <w:rPr>
          <w:i/>
          <w:sz w:val="24"/>
          <w:szCs w:val="24"/>
          <w:lang w:val="uk-UA"/>
        </w:rPr>
        <w:t>Очний, заочний.</w:t>
      </w:r>
    </w:p>
    <w:p w:rsidR="00824F20" w:rsidRDefault="00EC2FC5">
      <w:pPr>
        <w:ind w:left="-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5</w:t>
      </w:r>
      <w:r>
        <w:rPr>
          <w:b/>
          <w:sz w:val="24"/>
          <w:szCs w:val="24"/>
        </w:rPr>
        <w:t xml:space="preserve">.   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Тривалість курсу - 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120 год.(4 кредити ЄКТС), з них: </w:t>
      </w:r>
      <w:r w:rsidRPr="00EC2FC5">
        <w:rPr>
          <w:rFonts w:eastAsia="SimSun"/>
          <w:bCs/>
          <w:color w:val="000000"/>
          <w:sz w:val="24"/>
          <w:szCs w:val="24"/>
          <w:lang w:eastAsia="uk-UA" w:bidi="uk-UA"/>
        </w:rPr>
        <w:t>56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години аудиторної роботи; </w:t>
      </w:r>
      <w:r w:rsidRPr="00EC2FC5">
        <w:rPr>
          <w:rFonts w:eastAsia="SimSun"/>
          <w:bCs/>
          <w:color w:val="000000"/>
          <w:sz w:val="24"/>
          <w:szCs w:val="24"/>
          <w:lang w:eastAsia="uk-UA" w:bidi="uk-UA"/>
        </w:rPr>
        <w:t>64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години самостійної роботи, екзамен – 2 години.</w:t>
      </w:r>
    </w:p>
    <w:p w:rsidR="00824F20" w:rsidRDefault="00EC2FC5">
      <w:pPr>
        <w:tabs>
          <w:tab w:val="left" w:pos="284"/>
        </w:tabs>
        <w:ind w:left="-284"/>
        <w:jc w:val="both"/>
        <w:rPr>
          <w:bCs/>
          <w:i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6. Статус дисципліни: </w:t>
      </w:r>
      <w:r>
        <w:rPr>
          <w:bCs/>
          <w:sz w:val="24"/>
          <w:szCs w:val="24"/>
          <w:lang w:val="uk-UA"/>
        </w:rPr>
        <w:t>обов’язкова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7. </w:t>
      </w:r>
      <w:proofErr w:type="spellStart"/>
      <w:r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 xml:space="preserve">Успішне оволодіння дисципліни «Фінанси </w:t>
      </w:r>
      <w:r>
        <w:rPr>
          <w:sz w:val="24"/>
          <w:szCs w:val="24"/>
          <w:lang w:val="uk-UA"/>
        </w:rPr>
        <w:t>підприємства» передбачає використання знань з таких навчальних дисциплін, як  «</w:t>
      </w:r>
      <w:proofErr w:type="spellStart"/>
      <w:r>
        <w:rPr>
          <w:sz w:val="24"/>
          <w:szCs w:val="24"/>
          <w:lang w:val="uk-UA"/>
        </w:rPr>
        <w:t>Мікроекономіка</w:t>
      </w:r>
      <w:r>
        <w:rPr>
          <w:sz w:val="24"/>
          <w:szCs w:val="24"/>
          <w:lang w:val="uk-UA"/>
        </w:rPr>
        <w:t>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“Теорія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фінансів”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“Гроші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кредит”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“Фінанси”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“Фінансовий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аналіз”</w:t>
      </w:r>
      <w:proofErr w:type="spellEnd"/>
      <w:r>
        <w:rPr>
          <w:sz w:val="24"/>
          <w:szCs w:val="24"/>
          <w:lang w:val="uk-UA"/>
        </w:rPr>
        <w:t xml:space="preserve"> та ін</w:t>
      </w:r>
      <w:r>
        <w:rPr>
          <w:sz w:val="24"/>
          <w:szCs w:val="24"/>
          <w:lang w:val="uk-UA"/>
        </w:rPr>
        <w:t>.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>
        <w:rPr>
          <w:b/>
          <w:sz w:val="24"/>
          <w:szCs w:val="24"/>
          <w:lang w:val="uk-UA"/>
        </w:rPr>
        <w:t xml:space="preserve">. Політика курсу </w:t>
      </w:r>
      <w:r>
        <w:rPr>
          <w:b/>
          <w:i/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 xml:space="preserve">передбачає індивідуальну роботу, виконання завдань у встановлений термін, відпрацювання пропущених </w:t>
      </w:r>
      <w:r>
        <w:rPr>
          <w:sz w:val="24"/>
          <w:szCs w:val="24"/>
          <w:lang w:val="uk-UA"/>
        </w:rPr>
        <w:t>занять можливе під час самостійної підготовки та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консультацій викладача, дотримання академічної доброчесності, презентації та доповіді мають бути авторськими і оригінальними.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uk-UA"/>
        </w:rPr>
        <w:t xml:space="preserve">Зміст дисципліни: </w:t>
      </w:r>
      <w:r>
        <w:rPr>
          <w:sz w:val="24"/>
          <w:szCs w:val="24"/>
          <w:lang w:val="uk-UA"/>
        </w:rPr>
        <w:t xml:space="preserve">28 </w:t>
      </w:r>
      <w:proofErr w:type="spellStart"/>
      <w:r>
        <w:rPr>
          <w:sz w:val="24"/>
          <w:szCs w:val="24"/>
          <w:lang w:val="uk-UA"/>
        </w:rPr>
        <w:t>год</w:t>
      </w:r>
      <w:proofErr w:type="spellEnd"/>
      <w:r>
        <w:rPr>
          <w:sz w:val="24"/>
          <w:szCs w:val="24"/>
          <w:lang w:val="uk-UA"/>
        </w:rPr>
        <w:t xml:space="preserve"> лекцій; 28 </w:t>
      </w:r>
      <w:proofErr w:type="spellStart"/>
      <w:r>
        <w:rPr>
          <w:sz w:val="24"/>
          <w:szCs w:val="24"/>
          <w:lang w:val="uk-UA"/>
        </w:rPr>
        <w:t>год</w:t>
      </w:r>
      <w:proofErr w:type="spellEnd"/>
      <w:r>
        <w:rPr>
          <w:sz w:val="24"/>
          <w:szCs w:val="24"/>
          <w:lang w:val="uk-UA"/>
        </w:rPr>
        <w:t xml:space="preserve"> семінарських. Курс складається з двох</w:t>
      </w:r>
      <w:r>
        <w:rPr>
          <w:sz w:val="24"/>
          <w:szCs w:val="24"/>
          <w:lang w:val="uk-UA"/>
        </w:rPr>
        <w:t xml:space="preserve"> змістових модулів. Кожен модуль відповідно складається з лекційної та семінарської частин: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1 «Сутність фінансових ресурсів підприємства» (лекційні теми 1-5; семінарські теми 1- 5).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Змістовий модуль 2 «Планування, аналіз та ефективніст</w:t>
      </w:r>
      <w:r>
        <w:rPr>
          <w:sz w:val="24"/>
          <w:szCs w:val="24"/>
          <w:lang w:val="uk-UA"/>
        </w:rPr>
        <w:t>ь використання фінансів підприємства» (лекційні теми 6-14; семінарські теми 6-14).</w:t>
      </w:r>
    </w:p>
    <w:p w:rsidR="00824F20" w:rsidRDefault="00EC2FC5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>.Форми і методи навчання.</w:t>
      </w:r>
    </w:p>
    <w:p w:rsidR="00824F20" w:rsidRDefault="00EC2FC5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Основними видами навчальних аудиторних занять є лекції, семінарські заняття, консультації. При викладанні лекційного матеріалу передбачено поєдна</w:t>
      </w:r>
      <w:r>
        <w:rPr>
          <w:sz w:val="24"/>
          <w:szCs w:val="24"/>
          <w:lang w:val="uk-UA"/>
        </w:rPr>
        <w:t>ння таких форм і методі навчання, як лекції-бесіди, лекції-візуалізації.</w:t>
      </w:r>
    </w:p>
    <w:p w:rsidR="00824F20" w:rsidRDefault="00EC2FC5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Лекція-бесіда</w:t>
      </w:r>
      <w:r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lastRenderedPageBreak/>
        <w:t>сприйняття навчального матеріалу. Ви маєте можливість робити самооцінку рівня своєї підготовки, навчитися самостійно формулювати висновки і узагальнення.</w:t>
      </w:r>
    </w:p>
    <w:p w:rsidR="00824F20" w:rsidRDefault="00EC2FC5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 xml:space="preserve"> включає візуальну форму подачі лекційного матеріалу технічними засобами навчання.</w:t>
      </w:r>
      <w:r>
        <w:rPr>
          <w:sz w:val="24"/>
          <w:szCs w:val="24"/>
          <w:lang w:val="uk-UA"/>
        </w:rPr>
        <w:t xml:space="preserve"> Читання такої лекції зводиться до розгорнутого або короткого коментування викладачем візуальних матеріалів, що переглядаються.</w:t>
      </w:r>
    </w:p>
    <w:p w:rsidR="00824F20" w:rsidRDefault="00EC2FC5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проведенні семінарських занять передбачено поєднання таких форм і методів навчання як робота у малих групах, дискусія, публі</w:t>
      </w:r>
      <w:r>
        <w:rPr>
          <w:sz w:val="24"/>
          <w:szCs w:val="24"/>
          <w:lang w:val="uk-UA"/>
        </w:rPr>
        <w:t>чний виступ, групові проекти та кейс-завдання, тестування.</w:t>
      </w:r>
    </w:p>
    <w:p w:rsidR="00824F20" w:rsidRDefault="00EC2FC5">
      <w:pPr>
        <w:tabs>
          <w:tab w:val="left" w:pos="284"/>
        </w:tabs>
        <w:ind w:left="-284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працюєте з інформацією вдома, зокрема з використанням мережі Інтернет, під час занять виконуєте усні та письмові завдання, виступаєте з доповідями і презентаціями,підготовленими як групою так і </w:t>
      </w:r>
      <w:r>
        <w:rPr>
          <w:sz w:val="24"/>
          <w:szCs w:val="24"/>
          <w:lang w:val="uk-UA"/>
        </w:rPr>
        <w:t>індивідуально, моделюєте поведінку у конкретних професійних ситуаціях. Програмою курсу передбачено такі проекти:</w:t>
      </w:r>
    </w:p>
    <w:p w:rsidR="00824F20" w:rsidRDefault="00EC2FC5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 за темою індивідуального завдання;</w:t>
      </w:r>
    </w:p>
    <w:p w:rsidR="00824F20" w:rsidRDefault="00EC2FC5">
      <w:pPr>
        <w:tabs>
          <w:tab w:val="left" w:pos="28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виступ-інформування за темами семінарських занять.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</w:t>
      </w:r>
      <w:r>
        <w:rPr>
          <w:b/>
          <w:sz w:val="24"/>
          <w:szCs w:val="24"/>
          <w:lang w:val="uk-UA"/>
        </w:rPr>
        <w:t xml:space="preserve">. Оцінювання знань </w:t>
      </w:r>
      <w:r>
        <w:rPr>
          <w:sz w:val="24"/>
          <w:szCs w:val="24"/>
          <w:lang w:val="uk-UA"/>
        </w:rPr>
        <w:t xml:space="preserve">здійснюється відповідно </w:t>
      </w:r>
      <w:r>
        <w:rPr>
          <w:sz w:val="24"/>
          <w:szCs w:val="24"/>
          <w:lang w:val="uk-UA"/>
        </w:rPr>
        <w:t>до «Положення про оцінювання навчальних</w:t>
      </w:r>
    </w:p>
    <w:p w:rsidR="00824F20" w:rsidRDefault="00EC2FC5">
      <w:pPr>
        <w:tabs>
          <w:tab w:val="left" w:pos="284"/>
        </w:tabs>
        <w:ind w:left="-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досягнень здобувачів вищої освіти у Харківському інституті Приватного акціонерного товариства «Вищий навчальний заклад «Міжрегіональна Академія управління персоналом»</w:t>
      </w:r>
    </w:p>
    <w:p w:rsidR="00824F20" w:rsidRDefault="00EC2FC5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12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Завдання для самостійної роботи та критерії її оцінювання.</w:t>
      </w:r>
      <w:r>
        <w:rPr>
          <w:sz w:val="24"/>
          <w:szCs w:val="24"/>
          <w:lang w:val="uk-UA"/>
        </w:rPr>
        <w:t xml:space="preserve"> Під час вивчення курсу виконуються 2 самостійні роботи. </w:t>
      </w:r>
    </w:p>
    <w:p w:rsidR="00824F20" w:rsidRDefault="00EC2FC5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/>
        </w:rPr>
        <w:t>Критерії оцінювання:</w:t>
      </w:r>
    </w:p>
    <w:p w:rsidR="00824F20" w:rsidRDefault="00EC2FC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змістовність – 3 бали</w:t>
      </w:r>
    </w:p>
    <w:p w:rsidR="00824F20" w:rsidRDefault="00EC2FC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темі та вимогам оформлення – 2 бали.</w:t>
      </w:r>
    </w:p>
    <w:p w:rsidR="00824F20" w:rsidRDefault="00EC2FC5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>Максимальна кількість балів за самостійну роботу – 5 балів.</w:t>
      </w:r>
    </w:p>
    <w:p w:rsidR="00824F20" w:rsidRDefault="00EC2FC5">
      <w:p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13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Форми проведення модульного контролю та 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критерії оцінювання.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Модульний контроль відбувається в кінці вивчення блоків змістових модулів і здійснюється у вигляді виконання індивідуальних завдань-кейсів за тематикою матеріалу відповідного змістового модуля. Під час модульного контролю оцінюються та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кі компоненти: </w:t>
      </w:r>
    </w:p>
    <w:p w:rsidR="00824F20" w:rsidRDefault="00EC2FC5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Повнота розкриття теми – </w:t>
      </w:r>
      <w:r>
        <w:rPr>
          <w:rFonts w:eastAsia="SimSun"/>
          <w:bCs/>
          <w:color w:val="000000"/>
          <w:sz w:val="24"/>
          <w:szCs w:val="24"/>
          <w:lang w:val="en-US" w:eastAsia="uk-UA" w:bidi="uk-UA"/>
        </w:rPr>
        <w:t>1</w:t>
      </w: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5 балів</w:t>
      </w:r>
    </w:p>
    <w:p w:rsidR="00824F20" w:rsidRDefault="00EC2FC5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Якість інформації – 5 балів</w:t>
      </w:r>
    </w:p>
    <w:p w:rsidR="00824F20" w:rsidRDefault="00EC2FC5">
      <w:pPr>
        <w:numPr>
          <w:ilvl w:val="0"/>
          <w:numId w:val="2"/>
        </w:numPr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Cs/>
          <w:color w:val="000000"/>
          <w:sz w:val="24"/>
          <w:szCs w:val="24"/>
          <w:lang w:val="uk-UA" w:eastAsia="uk-UA" w:bidi="uk-UA"/>
        </w:rPr>
        <w:t>Самостійність та креативність – 5 балів</w:t>
      </w:r>
    </w:p>
    <w:p w:rsidR="00824F20" w:rsidRDefault="00EC2FC5">
      <w:pPr>
        <w:ind w:firstLine="567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Максимальна кількість балів - 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2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 балів.</w:t>
      </w:r>
    </w:p>
    <w:p w:rsidR="00824F20" w:rsidRDefault="00EC2FC5">
      <w:pPr>
        <w:ind w:left="720" w:hanging="720"/>
        <w:rPr>
          <w:rFonts w:eastAsia="Calibri"/>
          <w:i/>
          <w:sz w:val="24"/>
          <w:szCs w:val="24"/>
          <w:lang w:val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14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Форми проведення семестрового контролю та критерії оцінювання: </w:t>
      </w:r>
      <w:r>
        <w:rPr>
          <w:rFonts w:eastAsia="Calibri"/>
          <w:i/>
          <w:sz w:val="24"/>
          <w:szCs w:val="24"/>
          <w:lang w:val="uk-UA"/>
        </w:rPr>
        <w:t>Екзамен</w:t>
      </w:r>
    </w:p>
    <w:p w:rsidR="00824F20" w:rsidRDefault="00EC2FC5">
      <w:pPr>
        <w:jc w:val="both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 xml:space="preserve">Відбувається у формі </w:t>
      </w:r>
      <w:r>
        <w:rPr>
          <w:bCs/>
          <w:iCs/>
          <w:sz w:val="24"/>
          <w:szCs w:val="24"/>
          <w:lang w:val="uk-UA"/>
        </w:rPr>
        <w:t xml:space="preserve">надання письмових відповідей та в разі потреби додаткового усного спілкування (Методологічні рекомендації до проведення й оцінювання екзамену див. «Положення про оцінювання навчальних досягнень здобувачів вищої освіти у Харківському інституті </w:t>
      </w:r>
      <w:proofErr w:type="spellStart"/>
      <w:r>
        <w:rPr>
          <w:bCs/>
          <w:iCs/>
          <w:sz w:val="24"/>
          <w:szCs w:val="24"/>
          <w:lang w:val="uk-UA"/>
        </w:rPr>
        <w:t>ПрАТ</w:t>
      </w:r>
      <w:proofErr w:type="spellEnd"/>
      <w:r>
        <w:rPr>
          <w:bCs/>
          <w:iCs/>
          <w:sz w:val="24"/>
          <w:szCs w:val="24"/>
          <w:lang w:val="uk-UA"/>
        </w:rPr>
        <w:t xml:space="preserve"> “ВНЗ “МА</w:t>
      </w:r>
      <w:r>
        <w:rPr>
          <w:bCs/>
          <w:iCs/>
          <w:sz w:val="24"/>
          <w:szCs w:val="24"/>
          <w:lang w:val="uk-UA"/>
        </w:rPr>
        <w:t>УП” ).</w:t>
      </w:r>
      <w:r>
        <w:rPr>
          <w:b/>
          <w:sz w:val="24"/>
          <w:szCs w:val="24"/>
          <w:lang w:val="uk-UA"/>
        </w:rPr>
        <w:tab/>
      </w:r>
    </w:p>
    <w:p w:rsidR="00824F20" w:rsidRDefault="00EC2FC5">
      <w:pPr>
        <w:ind w:left="720" w:hanging="720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15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1357"/>
        <w:gridCol w:w="3168"/>
        <w:gridCol w:w="2694"/>
      </w:tblGrid>
      <w:tr w:rsidR="00824F20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за національною шкалою</w:t>
            </w:r>
          </w:p>
        </w:tc>
      </w:tr>
      <w:tr w:rsidR="00824F20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824F20" w:rsidRDefault="00EC2FC5">
            <w:pPr>
              <w:ind w:right="-144"/>
              <w:rPr>
                <w:lang w:val="uk-UA"/>
              </w:rPr>
            </w:pPr>
            <w:r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заліку</w:t>
            </w:r>
          </w:p>
        </w:tc>
      </w:tr>
      <w:tr w:rsidR="00824F20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824F20" w:rsidRDefault="00824F20">
            <w:pPr>
              <w:jc w:val="center"/>
              <w:rPr>
                <w:lang w:val="uk-UA"/>
              </w:rPr>
            </w:pPr>
          </w:p>
          <w:p w:rsidR="00824F20" w:rsidRDefault="00824F20">
            <w:pPr>
              <w:jc w:val="center"/>
              <w:rPr>
                <w:lang w:val="uk-UA"/>
              </w:rPr>
            </w:pPr>
          </w:p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зараховано</w:t>
            </w:r>
          </w:p>
        </w:tc>
      </w:tr>
      <w:tr w:rsidR="00824F20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</w:tr>
      <w:tr w:rsidR="00824F20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</w:tr>
      <w:tr w:rsidR="00824F20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</w:tr>
      <w:tr w:rsidR="00824F20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4F20" w:rsidRDefault="00824F20">
            <w:pPr>
              <w:jc w:val="center"/>
              <w:rPr>
                <w:lang w:val="uk-UA"/>
              </w:rPr>
            </w:pPr>
          </w:p>
        </w:tc>
      </w:tr>
      <w:tr w:rsidR="00824F20">
        <w:tc>
          <w:tcPr>
            <w:tcW w:w="2137" w:type="dxa"/>
            <w:tcBorders>
              <w:left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824F20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4F20" w:rsidRDefault="00EC2FC5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0-34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824F20" w:rsidRDefault="00EC2F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незадовільно з обов’язковим повторним </w:t>
            </w:r>
            <w:r>
              <w:rPr>
                <w:lang w:val="uk-UA"/>
              </w:rPr>
              <w:t>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824F20" w:rsidRDefault="00EC2F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24F20" w:rsidRDefault="00824F20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EC2FC5" w:rsidRDefault="00EC2FC5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EC2FC5" w:rsidRDefault="00EC2FC5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EC2FC5" w:rsidRDefault="00EC2FC5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824F20" w:rsidRDefault="00EC2FC5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lastRenderedPageBreak/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6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.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Рекомендовані джерела (література): </w:t>
      </w:r>
    </w:p>
    <w:p w:rsidR="00824F20" w:rsidRDefault="00EC2FC5">
      <w:pPr>
        <w:tabs>
          <w:tab w:val="left" w:pos="284"/>
        </w:tabs>
        <w:contextualSpacing/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Основна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:</w:t>
      </w:r>
    </w:p>
    <w:p w:rsidR="00824F20" w:rsidRDefault="00EC2FC5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eastAsia="Open Sans"/>
          <w:sz w:val="24"/>
          <w:szCs w:val="24"/>
          <w:shd w:val="clear" w:color="auto" w:fill="FFFFFF"/>
          <w:lang w:val="uk-UA"/>
        </w:rPr>
      </w:pPr>
      <w:r>
        <w:rPr>
          <w:rFonts w:eastAsia="Open Sans"/>
          <w:sz w:val="24"/>
          <w:szCs w:val="24"/>
          <w:shd w:val="clear" w:color="auto" w:fill="FFFFFF"/>
          <w:lang w:val="uk-UA"/>
        </w:rPr>
        <w:t>Власова Н.О., Круглова О.А.Фінанси підприємств:Навчальний посібник.-К.:Центр учбової літератури.-2007.-270с.</w:t>
      </w:r>
    </w:p>
    <w:p w:rsidR="00824F20" w:rsidRDefault="00EC2FC5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eastAsia="Open Sans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Любенко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 Н.М. </w:t>
      </w:r>
      <w:r>
        <w:rPr>
          <w:rFonts w:eastAsia="Open Sans"/>
          <w:sz w:val="24"/>
          <w:szCs w:val="24"/>
          <w:shd w:val="clear" w:color="auto" w:fill="FFFFFF"/>
          <w:lang w:val="uk-UA"/>
        </w:rPr>
        <w:t>Фінанси підприємства:Навчальний посібник.-К.: Центр учбової літератури.-2009.-264с.</w:t>
      </w:r>
    </w:p>
    <w:p w:rsidR="00824F20" w:rsidRDefault="00EC2FC5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eastAsia="Open Sans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Непочатенко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 О.О.Фінанси підприємства:Навчальний посібник.-К.: Центр учбової літератури.-2011.-328с.</w:t>
      </w:r>
    </w:p>
    <w:p w:rsidR="00824F20" w:rsidRDefault="00EC2FC5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rFonts w:eastAsia="Open Sans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Партин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 Г.О., Загородній А.Г. Фінанси підприємств:Навч.посіб.-2-ге вид.:п</w:t>
      </w:r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ерероб і </w:t>
      </w: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доп.-К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>.:Знання.-2006.-378с.</w:t>
      </w:r>
    </w:p>
    <w:p w:rsidR="00824F20" w:rsidRPr="00EC2FC5" w:rsidRDefault="00EC2FC5">
      <w:pPr>
        <w:tabs>
          <w:tab w:val="left" w:pos="284"/>
        </w:tabs>
        <w:contextualSpacing/>
        <w:jc w:val="both"/>
        <w:rPr>
          <w:rFonts w:eastAsia="Open Sans"/>
          <w:sz w:val="24"/>
          <w:szCs w:val="24"/>
          <w:shd w:val="clear" w:color="auto" w:fill="FFFFFF"/>
          <w:lang w:val="uk-UA"/>
        </w:rPr>
      </w:pPr>
      <w:r>
        <w:rPr>
          <w:rFonts w:eastAsia="Open Sans"/>
          <w:sz w:val="24"/>
          <w:szCs w:val="24"/>
          <w:shd w:val="clear" w:color="auto" w:fill="FFFFFF"/>
          <w:lang w:val="uk-UA"/>
        </w:rPr>
        <w:t>5.</w:t>
      </w:r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Фінанси підприємств: підручник / О.Б.Курило, Л.П.Бондаренко, О.И Вівчар, О.М.Чубка. — К.: Видавничий дім «Кондор», 2020. — 340 с.</w:t>
      </w:r>
    </w:p>
    <w:p w:rsidR="00824F20" w:rsidRDefault="00EC2FC5">
      <w:pPr>
        <w:tabs>
          <w:tab w:val="left" w:pos="284"/>
        </w:tabs>
        <w:contextualSpacing/>
        <w:jc w:val="both"/>
        <w:rPr>
          <w:rFonts w:eastAsia="Open Sans"/>
          <w:sz w:val="24"/>
          <w:szCs w:val="24"/>
          <w:shd w:val="clear" w:color="auto" w:fill="FFFFFF"/>
        </w:rPr>
      </w:pPr>
      <w:r>
        <w:rPr>
          <w:rFonts w:eastAsia="Open Sans"/>
          <w:sz w:val="24"/>
          <w:szCs w:val="24"/>
          <w:shd w:val="clear" w:color="auto" w:fill="FFFFFF"/>
          <w:lang w:val="uk-UA"/>
        </w:rPr>
        <w:t>6.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Фінансовий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 менеджмент: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підручник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 / Г. О.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Партин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 Н. Є.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Селюченко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. –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Львів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Видавництво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Львівської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Open Sans"/>
          <w:sz w:val="24"/>
          <w:szCs w:val="24"/>
          <w:shd w:val="clear" w:color="auto" w:fill="FFFFFF"/>
        </w:rPr>
        <w:t>політехніки</w:t>
      </w:r>
      <w:proofErr w:type="spellEnd"/>
      <w:r>
        <w:rPr>
          <w:rFonts w:eastAsia="Open Sans"/>
          <w:sz w:val="24"/>
          <w:szCs w:val="24"/>
          <w:shd w:val="clear" w:color="auto" w:fill="FFFFFF"/>
        </w:rPr>
        <w:t xml:space="preserve"> 2018.-388 </w:t>
      </w:r>
      <w:proofErr w:type="gramStart"/>
      <w:r>
        <w:rPr>
          <w:rFonts w:eastAsia="Open Sans"/>
          <w:sz w:val="24"/>
          <w:szCs w:val="24"/>
          <w:shd w:val="clear" w:color="auto" w:fill="FFFFFF"/>
        </w:rPr>
        <w:t>с</w:t>
      </w:r>
      <w:proofErr w:type="gramEnd"/>
      <w:r>
        <w:rPr>
          <w:rFonts w:eastAsia="Open Sans"/>
          <w:sz w:val="24"/>
          <w:szCs w:val="24"/>
          <w:shd w:val="clear" w:color="auto" w:fill="FFFFFF"/>
        </w:rPr>
        <w:t>.</w:t>
      </w:r>
    </w:p>
    <w:p w:rsidR="00824F20" w:rsidRPr="00EC2FC5" w:rsidRDefault="00824F20">
      <w:pPr>
        <w:rPr>
          <w:rFonts w:ascii="Open Sans" w:eastAsia="Open Sans" w:hAnsi="Open Sans" w:cs="Open Sans"/>
          <w:color w:val="666666"/>
          <w:sz w:val="21"/>
          <w:szCs w:val="21"/>
          <w:shd w:val="clear" w:color="auto" w:fill="FFFFFF"/>
          <w:lang w:eastAsia="zh-CN"/>
        </w:rPr>
      </w:pPr>
    </w:p>
    <w:p w:rsidR="00824F20" w:rsidRDefault="00EC2FC5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Додаткова</w:t>
      </w:r>
      <w:r>
        <w:rPr>
          <w:rFonts w:eastAsia="SimSun"/>
          <w:b/>
          <w:bCs/>
          <w:color w:val="000000"/>
          <w:sz w:val="24"/>
          <w:szCs w:val="24"/>
          <w:lang w:val="en-US" w:eastAsia="uk-UA" w:bidi="uk-UA"/>
        </w:rPr>
        <w:t>:</w:t>
      </w:r>
    </w:p>
    <w:p w:rsidR="00824F20" w:rsidRDefault="00EC2FC5">
      <w:pPr>
        <w:numPr>
          <w:ilvl w:val="0"/>
          <w:numId w:val="6"/>
        </w:numPr>
        <w:tabs>
          <w:tab w:val="clear" w:pos="312"/>
          <w:tab w:val="left" w:pos="284"/>
        </w:tabs>
        <w:contextualSpacing/>
        <w:rPr>
          <w:rFonts w:eastAsia="Open Sans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Аранчій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 В.І. Фінанси </w:t>
      </w: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підприємтва.Навчальний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 посібник.-К.:ВД “Профессіонал”.-2004.-204с.</w:t>
      </w:r>
    </w:p>
    <w:p w:rsidR="00824F20" w:rsidRDefault="00EC2FC5">
      <w:pPr>
        <w:numPr>
          <w:ilvl w:val="0"/>
          <w:numId w:val="6"/>
        </w:numPr>
        <w:tabs>
          <w:tab w:val="clear" w:pos="312"/>
          <w:tab w:val="left" w:pos="284"/>
        </w:tabs>
        <w:contextualSpacing/>
        <w:rPr>
          <w:rFonts w:eastAsia="Open Sans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eastAsia="Open Sans"/>
          <w:sz w:val="24"/>
          <w:szCs w:val="24"/>
          <w:shd w:val="clear" w:color="auto" w:fill="FFFFFF"/>
          <w:lang w:val="uk-UA"/>
        </w:rPr>
        <w:t>Лігоненко</w:t>
      </w:r>
      <w:proofErr w:type="spellEnd"/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 Л.О., Гуляєва Л.М. Фінанси підприємства: підручник.-К.:КНТЕУ.-2006.-490с.</w:t>
      </w:r>
    </w:p>
    <w:p w:rsidR="00824F20" w:rsidRDefault="00EC2FC5">
      <w:pPr>
        <w:tabs>
          <w:tab w:val="left" w:pos="284"/>
        </w:tabs>
        <w:contextualSpacing/>
        <w:rPr>
          <w:rFonts w:eastAsia="Open Sans"/>
          <w:sz w:val="24"/>
          <w:szCs w:val="24"/>
          <w:shd w:val="clear" w:color="auto" w:fill="FFFFFF"/>
          <w:lang w:val="uk-UA"/>
        </w:rPr>
      </w:pPr>
      <w:r>
        <w:rPr>
          <w:rFonts w:eastAsia="Open Sans"/>
          <w:sz w:val="24"/>
          <w:szCs w:val="24"/>
          <w:shd w:val="clear" w:color="auto" w:fill="FFFFFF"/>
          <w:lang w:val="uk-UA"/>
        </w:rPr>
        <w:t xml:space="preserve">3.ФілімоненковО.С. Фінанси </w:t>
      </w:r>
      <w:r>
        <w:rPr>
          <w:rFonts w:eastAsia="Open Sans"/>
          <w:sz w:val="24"/>
          <w:szCs w:val="24"/>
          <w:shd w:val="clear" w:color="auto" w:fill="FFFFFF"/>
          <w:lang w:val="uk-UA"/>
        </w:rPr>
        <w:t>підприємств: навчальний посібник.-К.:Кондор.-2007.-400с.</w:t>
      </w:r>
    </w:p>
    <w:p w:rsidR="00824F20" w:rsidRPr="00EC2FC5" w:rsidRDefault="00EC2FC5">
      <w:pPr>
        <w:tabs>
          <w:tab w:val="left" w:pos="284"/>
        </w:tabs>
        <w:contextualSpacing/>
        <w:rPr>
          <w:rFonts w:eastAsia="Open Sans"/>
          <w:sz w:val="24"/>
          <w:szCs w:val="24"/>
          <w:shd w:val="clear" w:color="auto" w:fill="FFFFFF"/>
          <w:lang w:val="uk-UA"/>
        </w:rPr>
      </w:pPr>
      <w:r>
        <w:rPr>
          <w:rFonts w:eastAsia="Open Sans"/>
          <w:sz w:val="24"/>
          <w:szCs w:val="24"/>
          <w:shd w:val="clear" w:color="auto" w:fill="FFFFFF"/>
          <w:lang w:val="uk-UA"/>
        </w:rPr>
        <w:t>4.Ф</w:t>
      </w:r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інансова санація і антикризове управління підприємством (з перекладом тем англійською мовою) : </w:t>
      </w:r>
      <w:proofErr w:type="spellStart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. посібник / М. К. Бондарчук, І. В. </w:t>
      </w:r>
      <w:proofErr w:type="spellStart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Алєксєєв</w:t>
      </w:r>
      <w:proofErr w:type="spellEnd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. – Львів : Видавництво Львівської політехніки, 2017.</w:t>
      </w:r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 – 268 с.</w:t>
      </w:r>
    </w:p>
    <w:p w:rsidR="00824F20" w:rsidRDefault="00EC2FC5">
      <w:pPr>
        <w:tabs>
          <w:tab w:val="left" w:pos="284"/>
        </w:tabs>
        <w:contextualSpacing/>
        <w:rPr>
          <w:rFonts w:eastAsia="Open Sans"/>
          <w:sz w:val="24"/>
          <w:szCs w:val="24"/>
          <w:shd w:val="clear" w:color="auto" w:fill="FFFFFF"/>
        </w:rPr>
      </w:pPr>
      <w:r>
        <w:rPr>
          <w:rFonts w:eastAsia="Open Sans"/>
          <w:sz w:val="24"/>
          <w:szCs w:val="24"/>
          <w:shd w:val="clear" w:color="auto" w:fill="FFFFFF"/>
          <w:lang w:val="uk-UA"/>
        </w:rPr>
        <w:t>5</w:t>
      </w:r>
      <w:bookmarkStart w:id="0" w:name="_GoBack"/>
      <w:bookmarkEnd w:id="0"/>
      <w:r>
        <w:rPr>
          <w:rFonts w:eastAsia="Open Sans"/>
          <w:sz w:val="24"/>
          <w:szCs w:val="24"/>
          <w:shd w:val="clear" w:color="auto" w:fill="FFFFFF"/>
          <w:lang w:val="uk-UA"/>
        </w:rPr>
        <w:t>.</w:t>
      </w:r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Фінансово-економічна діяльність: </w:t>
      </w:r>
      <w:proofErr w:type="spellStart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. / О. О. Коць, П. Г. </w:t>
      </w:r>
      <w:proofErr w:type="spellStart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>Ільчук</w:t>
      </w:r>
      <w:proofErr w:type="spellEnd"/>
      <w:r w:rsidRPr="00EC2FC5">
        <w:rPr>
          <w:rFonts w:eastAsia="Open Sans"/>
          <w:sz w:val="24"/>
          <w:szCs w:val="24"/>
          <w:shd w:val="clear" w:color="auto" w:fill="FFFFFF"/>
          <w:lang w:val="uk-UA"/>
        </w:rPr>
        <w:t xml:space="preserve">. – Львів: Видавець ПП Сорока Т. Б., 2016.- </w:t>
      </w:r>
      <w:r>
        <w:rPr>
          <w:rFonts w:eastAsia="Open Sans"/>
          <w:sz w:val="24"/>
          <w:szCs w:val="24"/>
          <w:shd w:val="clear" w:color="auto" w:fill="FFFFFF"/>
        </w:rPr>
        <w:t>134 с.</w:t>
      </w:r>
    </w:p>
    <w:p w:rsidR="00824F20" w:rsidRDefault="00824F20">
      <w:pPr>
        <w:tabs>
          <w:tab w:val="left" w:pos="284"/>
        </w:tabs>
        <w:ind w:left="720" w:hanging="720"/>
        <w:contextualSpacing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p w:rsidR="00824F20" w:rsidRDefault="00824F20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uk-UA"/>
        </w:rPr>
      </w:pPr>
    </w:p>
    <w:p w:rsidR="00824F20" w:rsidRDefault="00EC2FC5">
      <w:pPr>
        <w:shd w:val="clear" w:color="auto" w:fill="FFFFFF"/>
        <w:ind w:left="-288"/>
        <w:jc w:val="center"/>
        <w:rPr>
          <w:sz w:val="24"/>
          <w:szCs w:val="28"/>
          <w:lang w:val="uk-UA"/>
        </w:rPr>
      </w:pPr>
      <w:r>
        <w:rPr>
          <w:b/>
          <w:sz w:val="24"/>
          <w:szCs w:val="28"/>
          <w:lang w:val="uk-UA"/>
        </w:rPr>
        <w:t>Електронні ресурси: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1. </w:t>
      </w:r>
      <w:hyperlink r:id="rId9">
        <w:r>
          <w:rPr>
            <w:rStyle w:val="ae"/>
            <w:sz w:val="24"/>
            <w:szCs w:val="28"/>
            <w:lang w:val="uk-UA"/>
          </w:rPr>
          <w:t>http://zakon.rada.gov.ua</w:t>
        </w:r>
      </w:hyperlink>
      <w:r>
        <w:rPr>
          <w:sz w:val="24"/>
          <w:szCs w:val="28"/>
          <w:lang w:val="uk-UA"/>
        </w:rPr>
        <w:t xml:space="preserve"> – Законодавство України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bookmarkStart w:id="1" w:name="_heading=h.gjdgxs" w:colFirst="0" w:colLast="0"/>
      <w:bookmarkEnd w:id="1"/>
      <w:r>
        <w:rPr>
          <w:sz w:val="24"/>
          <w:szCs w:val="28"/>
          <w:lang w:val="uk-UA"/>
        </w:rPr>
        <w:t xml:space="preserve">2. </w:t>
      </w:r>
      <w:hyperlink r:id="rId10">
        <w:r>
          <w:rPr>
            <w:rStyle w:val="ae"/>
            <w:sz w:val="24"/>
            <w:szCs w:val="28"/>
            <w:lang w:val="uk-UA"/>
          </w:rPr>
          <w:t>http://www.president.gov.ua</w:t>
        </w:r>
      </w:hyperlink>
      <w:r>
        <w:rPr>
          <w:sz w:val="24"/>
          <w:szCs w:val="28"/>
          <w:lang w:val="uk-UA"/>
        </w:rPr>
        <w:t xml:space="preserve"> – Офіційне </w:t>
      </w:r>
      <w:proofErr w:type="spellStart"/>
      <w:r>
        <w:rPr>
          <w:sz w:val="24"/>
          <w:szCs w:val="28"/>
          <w:lang w:val="uk-UA"/>
        </w:rPr>
        <w:t>інтернет-представництво</w:t>
      </w:r>
      <w:proofErr w:type="spellEnd"/>
      <w:r>
        <w:rPr>
          <w:sz w:val="24"/>
          <w:szCs w:val="28"/>
          <w:lang w:val="uk-UA"/>
        </w:rPr>
        <w:t xml:space="preserve"> Президента України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3. </w:t>
      </w:r>
      <w:hyperlink r:id="rId11">
        <w:r>
          <w:rPr>
            <w:rStyle w:val="ae"/>
            <w:sz w:val="24"/>
            <w:szCs w:val="28"/>
            <w:lang w:val="uk-UA"/>
          </w:rPr>
          <w:t>http://www.kmu.gov.ua</w:t>
        </w:r>
      </w:hyperlink>
      <w:r>
        <w:rPr>
          <w:sz w:val="24"/>
          <w:szCs w:val="28"/>
          <w:lang w:val="uk-UA"/>
        </w:rPr>
        <w:t xml:space="preserve"> – Урядовий портал (Кабінет Міністрів України)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4. </w:t>
      </w:r>
      <w:hyperlink r:id="rId12" w:history="1">
        <w:r>
          <w:rPr>
            <w:rStyle w:val="ae"/>
            <w:sz w:val="24"/>
            <w:szCs w:val="28"/>
            <w:lang w:val="uk-UA"/>
          </w:rPr>
          <w:t>https://mon.gov.ua/ua</w:t>
        </w:r>
      </w:hyperlink>
      <w:r>
        <w:rPr>
          <w:sz w:val="24"/>
          <w:szCs w:val="28"/>
          <w:lang w:val="uk-UA"/>
        </w:rPr>
        <w:t xml:space="preserve"> – Міністерство освіти і науки України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5. </w:t>
      </w:r>
      <w:hyperlink r:id="rId13" w:history="1">
        <w:r>
          <w:rPr>
            <w:rStyle w:val="ae"/>
            <w:sz w:val="24"/>
            <w:szCs w:val="28"/>
            <w:lang w:val="uk-UA"/>
          </w:rPr>
          <w:t>https://www.msp.gov.ua/</w:t>
        </w:r>
      </w:hyperlink>
      <w:r>
        <w:rPr>
          <w:sz w:val="24"/>
          <w:szCs w:val="28"/>
          <w:lang w:val="uk-UA"/>
        </w:rPr>
        <w:t xml:space="preserve"> – Міністерство соціальної політики України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6. </w:t>
      </w:r>
      <w:hyperlink r:id="rId14" w:history="1">
        <w:r>
          <w:rPr>
            <w:rStyle w:val="ae"/>
            <w:sz w:val="24"/>
            <w:szCs w:val="28"/>
            <w:lang w:val="uk-UA"/>
          </w:rPr>
          <w:t>https://www.m</w:t>
        </w:r>
        <w:r>
          <w:rPr>
            <w:rStyle w:val="ae"/>
            <w:sz w:val="24"/>
            <w:szCs w:val="28"/>
            <w:lang w:val="uk-UA"/>
          </w:rPr>
          <w:t>e.gov.ua/?lang=uk-UA</w:t>
        </w:r>
      </w:hyperlink>
      <w:r>
        <w:rPr>
          <w:sz w:val="24"/>
          <w:szCs w:val="28"/>
          <w:lang w:val="uk-UA"/>
        </w:rPr>
        <w:t xml:space="preserve"> – Міністерство розвитку економіки, торгівлі та сільського господарства України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7. </w:t>
      </w:r>
      <w:hyperlink r:id="rId15">
        <w:r>
          <w:rPr>
            <w:rStyle w:val="ae"/>
            <w:sz w:val="24"/>
            <w:szCs w:val="28"/>
            <w:lang w:val="uk-UA"/>
          </w:rPr>
          <w:t>http://www.nbuv.gov.ua</w:t>
        </w:r>
      </w:hyperlink>
      <w:r>
        <w:rPr>
          <w:sz w:val="24"/>
          <w:szCs w:val="28"/>
          <w:lang w:val="uk-UA"/>
        </w:rPr>
        <w:t xml:space="preserve"> – Національна бібліотека України ім. В.І. Вернадського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8. </w:t>
      </w:r>
      <w:hyperlink r:id="rId16" w:history="1">
        <w:r>
          <w:rPr>
            <w:rStyle w:val="ae"/>
            <w:sz w:val="24"/>
            <w:szCs w:val="28"/>
            <w:lang w:val="uk-UA"/>
          </w:rPr>
          <w:t>http://lib.rada.gov.ua/static/about/wellcome.html</w:t>
        </w:r>
      </w:hyperlink>
      <w:r>
        <w:rPr>
          <w:sz w:val="24"/>
          <w:szCs w:val="28"/>
          <w:lang w:val="uk-UA"/>
        </w:rPr>
        <w:t xml:space="preserve"> – Бібліотека Верховної Ради України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9. </w:t>
      </w:r>
      <w:hyperlink r:id="rId17" w:history="1">
        <w:r>
          <w:rPr>
            <w:rStyle w:val="ae"/>
            <w:sz w:val="24"/>
            <w:szCs w:val="28"/>
            <w:lang w:val="uk-UA"/>
          </w:rPr>
          <w:t>http://www.library.univ.kiev.ua/ukr/title4.php3</w:t>
        </w:r>
      </w:hyperlink>
      <w:r>
        <w:rPr>
          <w:sz w:val="24"/>
          <w:szCs w:val="28"/>
          <w:lang w:val="uk-UA"/>
        </w:rPr>
        <w:t xml:space="preserve"> – Наукова бібліоте</w:t>
      </w:r>
      <w:r>
        <w:rPr>
          <w:sz w:val="24"/>
          <w:szCs w:val="28"/>
          <w:lang w:val="uk-UA"/>
        </w:rPr>
        <w:t xml:space="preserve">ка імені М.Максимовича Київського національного університету ім. Тараса Шевченка 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10. </w:t>
      </w:r>
      <w:hyperlink r:id="rId18" w:history="1">
        <w:r>
          <w:rPr>
            <w:rStyle w:val="ae"/>
            <w:sz w:val="24"/>
            <w:szCs w:val="28"/>
            <w:lang w:val="uk-UA"/>
          </w:rPr>
          <w:t>https://library.ukma.edu.ua/</w:t>
        </w:r>
      </w:hyperlink>
      <w:r>
        <w:rPr>
          <w:sz w:val="24"/>
          <w:szCs w:val="28"/>
          <w:lang w:val="uk-UA"/>
        </w:rPr>
        <w:t xml:space="preserve"> – Наукова бібліотека Національного університету «Києво-Могилянська академія»</w:t>
      </w:r>
    </w:p>
    <w:p w:rsidR="00824F20" w:rsidRDefault="00EC2FC5">
      <w:pPr>
        <w:shd w:val="clear" w:color="auto" w:fill="FFFFFF"/>
        <w:ind w:left="-28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11. </w:t>
      </w:r>
      <w:hyperlink r:id="rId19" w:history="1">
        <w:r>
          <w:rPr>
            <w:rStyle w:val="ae"/>
            <w:sz w:val="24"/>
            <w:szCs w:val="28"/>
            <w:lang w:val="uk-UA"/>
          </w:rPr>
          <w:t>http://library.iapm.edu.ua/</w:t>
        </w:r>
      </w:hyperlink>
      <w:r>
        <w:rPr>
          <w:sz w:val="24"/>
          <w:szCs w:val="28"/>
          <w:lang w:val="uk-UA"/>
        </w:rPr>
        <w:t xml:space="preserve"> - </w:t>
      </w:r>
      <w:proofErr w:type="spellStart"/>
      <w:r>
        <w:rPr>
          <w:sz w:val="24"/>
          <w:szCs w:val="28"/>
        </w:rPr>
        <w:t>Міжнародний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бібліотечно-інформаційний</w:t>
      </w:r>
      <w:proofErr w:type="spellEnd"/>
      <w:r>
        <w:rPr>
          <w:sz w:val="24"/>
          <w:szCs w:val="28"/>
        </w:rPr>
        <w:t xml:space="preserve"> центр </w:t>
      </w:r>
      <w:proofErr w:type="spellStart"/>
      <w:r>
        <w:rPr>
          <w:sz w:val="24"/>
          <w:szCs w:val="28"/>
        </w:rPr>
        <w:t>ім</w:t>
      </w:r>
      <w:proofErr w:type="spellEnd"/>
      <w:r>
        <w:rPr>
          <w:sz w:val="24"/>
          <w:szCs w:val="28"/>
        </w:rPr>
        <w:t>. Ярослава Мудрого</w:t>
      </w:r>
    </w:p>
    <w:p w:rsidR="00824F20" w:rsidRDefault="00824F20">
      <w:pPr>
        <w:shd w:val="clear" w:color="auto" w:fill="FFFFFF"/>
        <w:ind w:left="-288"/>
        <w:jc w:val="both"/>
        <w:rPr>
          <w:b/>
          <w:sz w:val="24"/>
          <w:szCs w:val="28"/>
          <w:lang w:val="uk-UA"/>
        </w:rPr>
      </w:pPr>
    </w:p>
    <w:sectPr w:rsidR="00824F20" w:rsidSect="00824F20">
      <w:headerReference w:type="even" r:id="rId20"/>
      <w:head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20" w:rsidRDefault="00824F20" w:rsidP="00824F20">
      <w:r>
        <w:separator/>
      </w:r>
    </w:p>
  </w:endnote>
  <w:endnote w:type="continuationSeparator" w:id="1">
    <w:p w:rsidR="00824F20" w:rsidRDefault="00824F20" w:rsidP="0082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Latha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Shruti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20" w:rsidRDefault="00824F20" w:rsidP="00824F20">
      <w:r>
        <w:separator/>
      </w:r>
    </w:p>
  </w:footnote>
  <w:footnote w:type="continuationSeparator" w:id="1">
    <w:p w:rsidR="00824F20" w:rsidRDefault="00824F20" w:rsidP="00824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20" w:rsidRDefault="00824F2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2F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24F20" w:rsidRDefault="00824F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20" w:rsidRDefault="00824F20">
    <w:pPr>
      <w:pStyle w:val="a7"/>
      <w:jc w:val="right"/>
    </w:pPr>
    <w:r>
      <w:fldChar w:fldCharType="begin"/>
    </w:r>
    <w:r w:rsidR="00EC2FC5">
      <w:instrText>PAGE   \* MERGEFORMAT</w:instrText>
    </w:r>
    <w:r>
      <w:fldChar w:fldCharType="separate"/>
    </w:r>
    <w:r w:rsidR="00EC2FC5">
      <w:rPr>
        <w:noProof/>
      </w:rPr>
      <w:t>3</w:t>
    </w:r>
    <w:r>
      <w:fldChar w:fldCharType="end"/>
    </w:r>
  </w:p>
  <w:p w:rsidR="00824F20" w:rsidRDefault="00824F2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8B660F"/>
    <w:multiLevelType w:val="singleLevel"/>
    <w:tmpl w:val="DE8B660F"/>
    <w:lvl w:ilvl="0">
      <w:start w:val="17"/>
      <w:numFmt w:val="decimal"/>
      <w:suff w:val="space"/>
      <w:lvlText w:val="%1."/>
      <w:lvlJc w:val="left"/>
    </w:lvl>
  </w:abstractNum>
  <w:abstractNum w:abstractNumId="1">
    <w:nsid w:val="E064B76A"/>
    <w:multiLevelType w:val="singleLevel"/>
    <w:tmpl w:val="E064B76A"/>
    <w:lvl w:ilvl="0">
      <w:start w:val="13"/>
      <w:numFmt w:val="decimal"/>
      <w:suff w:val="space"/>
      <w:lvlText w:val="%1."/>
      <w:lvlJc w:val="left"/>
    </w:lvl>
  </w:abstractNum>
  <w:abstractNum w:abstractNumId="2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EDD6D"/>
    <w:multiLevelType w:val="singleLevel"/>
    <w:tmpl w:val="0FAEDD6D"/>
    <w:lvl w:ilvl="0">
      <w:start w:val="1"/>
      <w:numFmt w:val="decimal"/>
      <w:suff w:val="space"/>
      <w:lvlText w:val="%1."/>
      <w:lvlJc w:val="left"/>
    </w:lvl>
  </w:abstractNum>
  <w:abstractNum w:abstractNumId="4">
    <w:nsid w:val="4F0EBBED"/>
    <w:multiLevelType w:val="singleLevel"/>
    <w:tmpl w:val="4F0EBB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1E75CE8"/>
    <w:multiLevelType w:val="singleLevel"/>
    <w:tmpl w:val="51E75C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useFELayout/>
    <w:doNotUseIndentAsNumberingTabStop/>
    <w:useAltKinsokuLineBreakRules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4CE"/>
    <w:rsid w:val="00017543"/>
    <w:rsid w:val="00023D5F"/>
    <w:rsid w:val="00032691"/>
    <w:rsid w:val="00034CF2"/>
    <w:rsid w:val="000410E6"/>
    <w:rsid w:val="0004229E"/>
    <w:rsid w:val="00042BB7"/>
    <w:rsid w:val="00042EC1"/>
    <w:rsid w:val="000466D1"/>
    <w:rsid w:val="00050CC9"/>
    <w:rsid w:val="0005271F"/>
    <w:rsid w:val="00052E77"/>
    <w:rsid w:val="000553B6"/>
    <w:rsid w:val="00055B30"/>
    <w:rsid w:val="000569BC"/>
    <w:rsid w:val="00057002"/>
    <w:rsid w:val="00057736"/>
    <w:rsid w:val="00057A51"/>
    <w:rsid w:val="00063063"/>
    <w:rsid w:val="00065E2E"/>
    <w:rsid w:val="00067620"/>
    <w:rsid w:val="00070AA8"/>
    <w:rsid w:val="00074139"/>
    <w:rsid w:val="000752B9"/>
    <w:rsid w:val="00077DA4"/>
    <w:rsid w:val="0008496C"/>
    <w:rsid w:val="00085BAD"/>
    <w:rsid w:val="0009065B"/>
    <w:rsid w:val="00093E09"/>
    <w:rsid w:val="00094BD8"/>
    <w:rsid w:val="00094ECE"/>
    <w:rsid w:val="00095531"/>
    <w:rsid w:val="000A0E4D"/>
    <w:rsid w:val="000A12C0"/>
    <w:rsid w:val="000A20F6"/>
    <w:rsid w:val="000A247C"/>
    <w:rsid w:val="000A2A33"/>
    <w:rsid w:val="000A449E"/>
    <w:rsid w:val="000A4961"/>
    <w:rsid w:val="000B013D"/>
    <w:rsid w:val="000B2106"/>
    <w:rsid w:val="000B26C4"/>
    <w:rsid w:val="000B632B"/>
    <w:rsid w:val="000C177E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56F8"/>
    <w:rsid w:val="000F6A43"/>
    <w:rsid w:val="000F6F13"/>
    <w:rsid w:val="000F7D8F"/>
    <w:rsid w:val="001041DA"/>
    <w:rsid w:val="00105923"/>
    <w:rsid w:val="00105B2F"/>
    <w:rsid w:val="001072F4"/>
    <w:rsid w:val="00112427"/>
    <w:rsid w:val="0011363D"/>
    <w:rsid w:val="0011383A"/>
    <w:rsid w:val="0011489C"/>
    <w:rsid w:val="001211E3"/>
    <w:rsid w:val="00122528"/>
    <w:rsid w:val="00122D88"/>
    <w:rsid w:val="001266E1"/>
    <w:rsid w:val="00132620"/>
    <w:rsid w:val="0013433A"/>
    <w:rsid w:val="00134732"/>
    <w:rsid w:val="00137A68"/>
    <w:rsid w:val="0014722E"/>
    <w:rsid w:val="00147865"/>
    <w:rsid w:val="00151A98"/>
    <w:rsid w:val="00154628"/>
    <w:rsid w:val="00160279"/>
    <w:rsid w:val="00160E96"/>
    <w:rsid w:val="00164A85"/>
    <w:rsid w:val="001670F0"/>
    <w:rsid w:val="0016795C"/>
    <w:rsid w:val="001731C0"/>
    <w:rsid w:val="00173E04"/>
    <w:rsid w:val="0019109D"/>
    <w:rsid w:val="00191DD0"/>
    <w:rsid w:val="00196465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C46A2"/>
    <w:rsid w:val="001D11DB"/>
    <w:rsid w:val="001E0358"/>
    <w:rsid w:val="001E0E85"/>
    <w:rsid w:val="001E12B7"/>
    <w:rsid w:val="001E13F0"/>
    <w:rsid w:val="001E6C00"/>
    <w:rsid w:val="001E6FD7"/>
    <w:rsid w:val="001E74FF"/>
    <w:rsid w:val="001E7BC9"/>
    <w:rsid w:val="001F1262"/>
    <w:rsid w:val="001F2A73"/>
    <w:rsid w:val="001F2F18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407DB"/>
    <w:rsid w:val="002500F5"/>
    <w:rsid w:val="002510DA"/>
    <w:rsid w:val="00252C1D"/>
    <w:rsid w:val="00254094"/>
    <w:rsid w:val="00256AA6"/>
    <w:rsid w:val="00260897"/>
    <w:rsid w:val="002657F5"/>
    <w:rsid w:val="0026625E"/>
    <w:rsid w:val="002677C5"/>
    <w:rsid w:val="00270A04"/>
    <w:rsid w:val="00274D1E"/>
    <w:rsid w:val="002758A2"/>
    <w:rsid w:val="00281C55"/>
    <w:rsid w:val="002822A6"/>
    <w:rsid w:val="00286E3F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891"/>
    <w:rsid w:val="002D0BFB"/>
    <w:rsid w:val="002D55AF"/>
    <w:rsid w:val="002E2AA3"/>
    <w:rsid w:val="002E3BCA"/>
    <w:rsid w:val="003027BA"/>
    <w:rsid w:val="00307E60"/>
    <w:rsid w:val="00310AF0"/>
    <w:rsid w:val="003129E1"/>
    <w:rsid w:val="00314021"/>
    <w:rsid w:val="003172C7"/>
    <w:rsid w:val="00327F6E"/>
    <w:rsid w:val="00330831"/>
    <w:rsid w:val="00335D82"/>
    <w:rsid w:val="00346472"/>
    <w:rsid w:val="00353797"/>
    <w:rsid w:val="00362B22"/>
    <w:rsid w:val="003654A1"/>
    <w:rsid w:val="003671AE"/>
    <w:rsid w:val="003679FE"/>
    <w:rsid w:val="00370C33"/>
    <w:rsid w:val="0037253B"/>
    <w:rsid w:val="00373964"/>
    <w:rsid w:val="00374E41"/>
    <w:rsid w:val="00376416"/>
    <w:rsid w:val="0038189C"/>
    <w:rsid w:val="003819BA"/>
    <w:rsid w:val="003824FB"/>
    <w:rsid w:val="00384C53"/>
    <w:rsid w:val="00384EA3"/>
    <w:rsid w:val="00386750"/>
    <w:rsid w:val="003914C5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4997"/>
    <w:rsid w:val="003C6381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41A5"/>
    <w:rsid w:val="00404E65"/>
    <w:rsid w:val="004055A8"/>
    <w:rsid w:val="00405D52"/>
    <w:rsid w:val="004061A8"/>
    <w:rsid w:val="00413E8B"/>
    <w:rsid w:val="0041466E"/>
    <w:rsid w:val="00414700"/>
    <w:rsid w:val="00421691"/>
    <w:rsid w:val="00421AC3"/>
    <w:rsid w:val="00423B58"/>
    <w:rsid w:val="004251FB"/>
    <w:rsid w:val="0043043A"/>
    <w:rsid w:val="00442A1D"/>
    <w:rsid w:val="00444ED3"/>
    <w:rsid w:val="004466FD"/>
    <w:rsid w:val="00460EBB"/>
    <w:rsid w:val="0046145D"/>
    <w:rsid w:val="004633D8"/>
    <w:rsid w:val="004654D4"/>
    <w:rsid w:val="00472ACF"/>
    <w:rsid w:val="004748F7"/>
    <w:rsid w:val="00481DB3"/>
    <w:rsid w:val="004835CC"/>
    <w:rsid w:val="00484EB0"/>
    <w:rsid w:val="0048591D"/>
    <w:rsid w:val="00491DB7"/>
    <w:rsid w:val="00493E0C"/>
    <w:rsid w:val="00496957"/>
    <w:rsid w:val="004A029F"/>
    <w:rsid w:val="004A032D"/>
    <w:rsid w:val="004A391F"/>
    <w:rsid w:val="004A445E"/>
    <w:rsid w:val="004A64BB"/>
    <w:rsid w:val="004A651B"/>
    <w:rsid w:val="004A71D1"/>
    <w:rsid w:val="004B0A5E"/>
    <w:rsid w:val="004C0D51"/>
    <w:rsid w:val="004C2B2B"/>
    <w:rsid w:val="004C38DB"/>
    <w:rsid w:val="004C65CA"/>
    <w:rsid w:val="004C7D7E"/>
    <w:rsid w:val="004D2EBF"/>
    <w:rsid w:val="004D5981"/>
    <w:rsid w:val="004D6C4F"/>
    <w:rsid w:val="004D7B8E"/>
    <w:rsid w:val="004E3723"/>
    <w:rsid w:val="004E642E"/>
    <w:rsid w:val="004E6B98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BB"/>
    <w:rsid w:val="00526957"/>
    <w:rsid w:val="00530D47"/>
    <w:rsid w:val="00533638"/>
    <w:rsid w:val="00534A20"/>
    <w:rsid w:val="0053789B"/>
    <w:rsid w:val="00543CD7"/>
    <w:rsid w:val="00544F00"/>
    <w:rsid w:val="00545A50"/>
    <w:rsid w:val="00550A0C"/>
    <w:rsid w:val="00550E0F"/>
    <w:rsid w:val="00553CCC"/>
    <w:rsid w:val="005566FA"/>
    <w:rsid w:val="005605D0"/>
    <w:rsid w:val="00561E5B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2FA"/>
    <w:rsid w:val="005842E5"/>
    <w:rsid w:val="005868BF"/>
    <w:rsid w:val="00591681"/>
    <w:rsid w:val="0059252E"/>
    <w:rsid w:val="00592B01"/>
    <w:rsid w:val="005940B7"/>
    <w:rsid w:val="005A2746"/>
    <w:rsid w:val="005A3E73"/>
    <w:rsid w:val="005A3EA5"/>
    <w:rsid w:val="005A7334"/>
    <w:rsid w:val="005B0720"/>
    <w:rsid w:val="005B105E"/>
    <w:rsid w:val="005B2308"/>
    <w:rsid w:val="005B4609"/>
    <w:rsid w:val="005B6C2D"/>
    <w:rsid w:val="005B7270"/>
    <w:rsid w:val="005B730B"/>
    <w:rsid w:val="005C1041"/>
    <w:rsid w:val="005C3AB4"/>
    <w:rsid w:val="005C48B4"/>
    <w:rsid w:val="005D6CB4"/>
    <w:rsid w:val="005D75DD"/>
    <w:rsid w:val="005E0838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0722D"/>
    <w:rsid w:val="00613222"/>
    <w:rsid w:val="0061455E"/>
    <w:rsid w:val="0062204E"/>
    <w:rsid w:val="006246EB"/>
    <w:rsid w:val="00624A6F"/>
    <w:rsid w:val="00625219"/>
    <w:rsid w:val="0062588D"/>
    <w:rsid w:val="00625975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0C36"/>
    <w:rsid w:val="00674A0B"/>
    <w:rsid w:val="00676C1B"/>
    <w:rsid w:val="006777B1"/>
    <w:rsid w:val="006805DA"/>
    <w:rsid w:val="00681C92"/>
    <w:rsid w:val="006869CB"/>
    <w:rsid w:val="00686F4F"/>
    <w:rsid w:val="00691C6B"/>
    <w:rsid w:val="00694468"/>
    <w:rsid w:val="00694E30"/>
    <w:rsid w:val="00696CD2"/>
    <w:rsid w:val="006A0AEE"/>
    <w:rsid w:val="006A5993"/>
    <w:rsid w:val="006A6713"/>
    <w:rsid w:val="006B0910"/>
    <w:rsid w:val="006B1B40"/>
    <w:rsid w:val="006B3FE9"/>
    <w:rsid w:val="006B542F"/>
    <w:rsid w:val="006B570D"/>
    <w:rsid w:val="006C0ADD"/>
    <w:rsid w:val="006C44F8"/>
    <w:rsid w:val="006C6D78"/>
    <w:rsid w:val="006D06C9"/>
    <w:rsid w:val="006D0AB8"/>
    <w:rsid w:val="006D0C9F"/>
    <w:rsid w:val="006D33B5"/>
    <w:rsid w:val="006D3FBF"/>
    <w:rsid w:val="006D44B6"/>
    <w:rsid w:val="006E0B4C"/>
    <w:rsid w:val="006E3F0E"/>
    <w:rsid w:val="006E432E"/>
    <w:rsid w:val="006E4CA2"/>
    <w:rsid w:val="006E512F"/>
    <w:rsid w:val="006F0F5E"/>
    <w:rsid w:val="006F1CC9"/>
    <w:rsid w:val="006F231E"/>
    <w:rsid w:val="006F7687"/>
    <w:rsid w:val="0070017E"/>
    <w:rsid w:val="0070069D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742C"/>
    <w:rsid w:val="0075043C"/>
    <w:rsid w:val="0075183E"/>
    <w:rsid w:val="007524CB"/>
    <w:rsid w:val="00755D82"/>
    <w:rsid w:val="00757CC4"/>
    <w:rsid w:val="007635DD"/>
    <w:rsid w:val="007670D2"/>
    <w:rsid w:val="00770C1D"/>
    <w:rsid w:val="00770C3F"/>
    <w:rsid w:val="00775464"/>
    <w:rsid w:val="00775EE2"/>
    <w:rsid w:val="00777C6D"/>
    <w:rsid w:val="00783506"/>
    <w:rsid w:val="0078436C"/>
    <w:rsid w:val="00784841"/>
    <w:rsid w:val="00785B55"/>
    <w:rsid w:val="00795FC6"/>
    <w:rsid w:val="007A1B4F"/>
    <w:rsid w:val="007A201D"/>
    <w:rsid w:val="007A3C17"/>
    <w:rsid w:val="007A45F1"/>
    <w:rsid w:val="007A4E00"/>
    <w:rsid w:val="007A6DA8"/>
    <w:rsid w:val="007B07FC"/>
    <w:rsid w:val="007B5030"/>
    <w:rsid w:val="007B55C0"/>
    <w:rsid w:val="007B6BFE"/>
    <w:rsid w:val="007B7406"/>
    <w:rsid w:val="007C1487"/>
    <w:rsid w:val="007C1A04"/>
    <w:rsid w:val="007C2EA1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3D20"/>
    <w:rsid w:val="007F5BB8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24F20"/>
    <w:rsid w:val="00834C09"/>
    <w:rsid w:val="00841742"/>
    <w:rsid w:val="00842569"/>
    <w:rsid w:val="008426B8"/>
    <w:rsid w:val="008426BB"/>
    <w:rsid w:val="00844C03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1F8A"/>
    <w:rsid w:val="008928C2"/>
    <w:rsid w:val="00892F86"/>
    <w:rsid w:val="00894DD0"/>
    <w:rsid w:val="008A04A5"/>
    <w:rsid w:val="008A1BCD"/>
    <w:rsid w:val="008A7E72"/>
    <w:rsid w:val="008B24A8"/>
    <w:rsid w:val="008B36B8"/>
    <w:rsid w:val="008B3B1C"/>
    <w:rsid w:val="008B3F4E"/>
    <w:rsid w:val="008B62CE"/>
    <w:rsid w:val="008C1587"/>
    <w:rsid w:val="008C1A8F"/>
    <w:rsid w:val="008C1FD3"/>
    <w:rsid w:val="008C4818"/>
    <w:rsid w:val="008C5D98"/>
    <w:rsid w:val="008D0BF1"/>
    <w:rsid w:val="008D1349"/>
    <w:rsid w:val="008D50E5"/>
    <w:rsid w:val="008D7230"/>
    <w:rsid w:val="008E0925"/>
    <w:rsid w:val="008E1495"/>
    <w:rsid w:val="008E17E3"/>
    <w:rsid w:val="008E2770"/>
    <w:rsid w:val="008F1B7E"/>
    <w:rsid w:val="008F2A9C"/>
    <w:rsid w:val="008F3513"/>
    <w:rsid w:val="008F354A"/>
    <w:rsid w:val="008F788E"/>
    <w:rsid w:val="0090050E"/>
    <w:rsid w:val="00903322"/>
    <w:rsid w:val="00904C5B"/>
    <w:rsid w:val="00905090"/>
    <w:rsid w:val="00905221"/>
    <w:rsid w:val="00905A12"/>
    <w:rsid w:val="00907181"/>
    <w:rsid w:val="00912537"/>
    <w:rsid w:val="00917F6D"/>
    <w:rsid w:val="00920040"/>
    <w:rsid w:val="00924886"/>
    <w:rsid w:val="00925085"/>
    <w:rsid w:val="00925754"/>
    <w:rsid w:val="009338ED"/>
    <w:rsid w:val="009366CE"/>
    <w:rsid w:val="00936A92"/>
    <w:rsid w:val="0094356F"/>
    <w:rsid w:val="009440C2"/>
    <w:rsid w:val="00944445"/>
    <w:rsid w:val="00945C57"/>
    <w:rsid w:val="00946781"/>
    <w:rsid w:val="0095386C"/>
    <w:rsid w:val="00955931"/>
    <w:rsid w:val="00957B0F"/>
    <w:rsid w:val="009602EB"/>
    <w:rsid w:val="00960FDC"/>
    <w:rsid w:val="0096381D"/>
    <w:rsid w:val="00963A8D"/>
    <w:rsid w:val="009657F6"/>
    <w:rsid w:val="00965B00"/>
    <w:rsid w:val="0096605B"/>
    <w:rsid w:val="00967A46"/>
    <w:rsid w:val="00971828"/>
    <w:rsid w:val="00971AAA"/>
    <w:rsid w:val="009739B7"/>
    <w:rsid w:val="00975CA7"/>
    <w:rsid w:val="00976E20"/>
    <w:rsid w:val="00977A84"/>
    <w:rsid w:val="00983BD2"/>
    <w:rsid w:val="00984D62"/>
    <w:rsid w:val="009928CE"/>
    <w:rsid w:val="00995857"/>
    <w:rsid w:val="009960BB"/>
    <w:rsid w:val="00997B05"/>
    <w:rsid w:val="009A048C"/>
    <w:rsid w:val="009A08D6"/>
    <w:rsid w:val="009A3CEB"/>
    <w:rsid w:val="009A7B8F"/>
    <w:rsid w:val="009B1E37"/>
    <w:rsid w:val="009B2372"/>
    <w:rsid w:val="009B4214"/>
    <w:rsid w:val="009B49DA"/>
    <w:rsid w:val="009B6373"/>
    <w:rsid w:val="009B67E9"/>
    <w:rsid w:val="009C2FCA"/>
    <w:rsid w:val="009C4DD8"/>
    <w:rsid w:val="009C5357"/>
    <w:rsid w:val="009D411D"/>
    <w:rsid w:val="009E0E0F"/>
    <w:rsid w:val="009E71BC"/>
    <w:rsid w:val="009F06CB"/>
    <w:rsid w:val="009F37EE"/>
    <w:rsid w:val="009F3910"/>
    <w:rsid w:val="009F51B6"/>
    <w:rsid w:val="009F58E6"/>
    <w:rsid w:val="009F605D"/>
    <w:rsid w:val="00A00520"/>
    <w:rsid w:val="00A013C6"/>
    <w:rsid w:val="00A014BB"/>
    <w:rsid w:val="00A015BB"/>
    <w:rsid w:val="00A01CDF"/>
    <w:rsid w:val="00A03604"/>
    <w:rsid w:val="00A03637"/>
    <w:rsid w:val="00A05EB0"/>
    <w:rsid w:val="00A062CC"/>
    <w:rsid w:val="00A07306"/>
    <w:rsid w:val="00A100F4"/>
    <w:rsid w:val="00A13343"/>
    <w:rsid w:val="00A1367C"/>
    <w:rsid w:val="00A1372E"/>
    <w:rsid w:val="00A15993"/>
    <w:rsid w:val="00A17C64"/>
    <w:rsid w:val="00A235EC"/>
    <w:rsid w:val="00A23AC4"/>
    <w:rsid w:val="00A273D8"/>
    <w:rsid w:val="00A355E9"/>
    <w:rsid w:val="00A41E07"/>
    <w:rsid w:val="00A44B0A"/>
    <w:rsid w:val="00A61313"/>
    <w:rsid w:val="00A61427"/>
    <w:rsid w:val="00A61599"/>
    <w:rsid w:val="00A627F9"/>
    <w:rsid w:val="00A63497"/>
    <w:rsid w:val="00A63A43"/>
    <w:rsid w:val="00A67754"/>
    <w:rsid w:val="00A67B07"/>
    <w:rsid w:val="00A7626E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2B9"/>
    <w:rsid w:val="00AB434F"/>
    <w:rsid w:val="00AB7151"/>
    <w:rsid w:val="00AB775B"/>
    <w:rsid w:val="00AC1BB1"/>
    <w:rsid w:val="00AC3A6A"/>
    <w:rsid w:val="00AC4BE9"/>
    <w:rsid w:val="00AC4BF0"/>
    <w:rsid w:val="00AC4CC4"/>
    <w:rsid w:val="00AD0FA0"/>
    <w:rsid w:val="00AD4AE3"/>
    <w:rsid w:val="00AD648C"/>
    <w:rsid w:val="00AD68E3"/>
    <w:rsid w:val="00AF0C31"/>
    <w:rsid w:val="00AF1371"/>
    <w:rsid w:val="00AF1DAE"/>
    <w:rsid w:val="00AF2092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087B"/>
    <w:rsid w:val="00B2441C"/>
    <w:rsid w:val="00B272E1"/>
    <w:rsid w:val="00B309E9"/>
    <w:rsid w:val="00B32EFF"/>
    <w:rsid w:val="00B3420C"/>
    <w:rsid w:val="00B407B1"/>
    <w:rsid w:val="00B4239D"/>
    <w:rsid w:val="00B45881"/>
    <w:rsid w:val="00B503A7"/>
    <w:rsid w:val="00B53622"/>
    <w:rsid w:val="00B53882"/>
    <w:rsid w:val="00B55697"/>
    <w:rsid w:val="00B56B04"/>
    <w:rsid w:val="00B646A3"/>
    <w:rsid w:val="00B66444"/>
    <w:rsid w:val="00B67AFF"/>
    <w:rsid w:val="00B73D87"/>
    <w:rsid w:val="00B77A08"/>
    <w:rsid w:val="00B828E6"/>
    <w:rsid w:val="00B8476D"/>
    <w:rsid w:val="00B927DB"/>
    <w:rsid w:val="00B9288C"/>
    <w:rsid w:val="00B946A0"/>
    <w:rsid w:val="00B96083"/>
    <w:rsid w:val="00BA0056"/>
    <w:rsid w:val="00BA2DAB"/>
    <w:rsid w:val="00BB5E1C"/>
    <w:rsid w:val="00BC6268"/>
    <w:rsid w:val="00BC77AB"/>
    <w:rsid w:val="00BD202E"/>
    <w:rsid w:val="00BD40BB"/>
    <w:rsid w:val="00BD4895"/>
    <w:rsid w:val="00BD7D77"/>
    <w:rsid w:val="00BE0EDB"/>
    <w:rsid w:val="00BE1BA0"/>
    <w:rsid w:val="00BE2382"/>
    <w:rsid w:val="00BE24E5"/>
    <w:rsid w:val="00BE2925"/>
    <w:rsid w:val="00BE54FF"/>
    <w:rsid w:val="00BE569E"/>
    <w:rsid w:val="00BE75B7"/>
    <w:rsid w:val="00BF7268"/>
    <w:rsid w:val="00C003F3"/>
    <w:rsid w:val="00C02CFF"/>
    <w:rsid w:val="00C03B20"/>
    <w:rsid w:val="00C04CC5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190A"/>
    <w:rsid w:val="00C44377"/>
    <w:rsid w:val="00C45130"/>
    <w:rsid w:val="00C45A1F"/>
    <w:rsid w:val="00C470B8"/>
    <w:rsid w:val="00C52440"/>
    <w:rsid w:val="00C56171"/>
    <w:rsid w:val="00C601E8"/>
    <w:rsid w:val="00C61F3D"/>
    <w:rsid w:val="00C63269"/>
    <w:rsid w:val="00C65F82"/>
    <w:rsid w:val="00C74211"/>
    <w:rsid w:val="00C77809"/>
    <w:rsid w:val="00C817B5"/>
    <w:rsid w:val="00C823CF"/>
    <w:rsid w:val="00C852F4"/>
    <w:rsid w:val="00C87DDC"/>
    <w:rsid w:val="00C90DCF"/>
    <w:rsid w:val="00C91336"/>
    <w:rsid w:val="00C92336"/>
    <w:rsid w:val="00C97362"/>
    <w:rsid w:val="00CA7383"/>
    <w:rsid w:val="00CB15D0"/>
    <w:rsid w:val="00CB2C73"/>
    <w:rsid w:val="00CC0F2A"/>
    <w:rsid w:val="00CC3931"/>
    <w:rsid w:val="00CC538B"/>
    <w:rsid w:val="00CC62E3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3EAF"/>
    <w:rsid w:val="00D44106"/>
    <w:rsid w:val="00D5190D"/>
    <w:rsid w:val="00D52BB2"/>
    <w:rsid w:val="00D56874"/>
    <w:rsid w:val="00D56B23"/>
    <w:rsid w:val="00D62606"/>
    <w:rsid w:val="00D62B8F"/>
    <w:rsid w:val="00D63736"/>
    <w:rsid w:val="00D65B08"/>
    <w:rsid w:val="00D6685E"/>
    <w:rsid w:val="00D71BC9"/>
    <w:rsid w:val="00D748D5"/>
    <w:rsid w:val="00D75F9F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6789"/>
    <w:rsid w:val="00DC0034"/>
    <w:rsid w:val="00DC0E99"/>
    <w:rsid w:val="00DC25D3"/>
    <w:rsid w:val="00DC6EB6"/>
    <w:rsid w:val="00DD0256"/>
    <w:rsid w:val="00DD0840"/>
    <w:rsid w:val="00DD2993"/>
    <w:rsid w:val="00DD3F8B"/>
    <w:rsid w:val="00DD7177"/>
    <w:rsid w:val="00DE0B9F"/>
    <w:rsid w:val="00DE116A"/>
    <w:rsid w:val="00DE75DB"/>
    <w:rsid w:val="00DF1AE0"/>
    <w:rsid w:val="00DF2F1E"/>
    <w:rsid w:val="00DF4CC9"/>
    <w:rsid w:val="00DF5473"/>
    <w:rsid w:val="00DF7ED3"/>
    <w:rsid w:val="00E049DE"/>
    <w:rsid w:val="00E05179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24C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242A"/>
    <w:rsid w:val="00E65BE4"/>
    <w:rsid w:val="00E66EA7"/>
    <w:rsid w:val="00E74201"/>
    <w:rsid w:val="00E74356"/>
    <w:rsid w:val="00E77225"/>
    <w:rsid w:val="00E84CC8"/>
    <w:rsid w:val="00E876DA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5D2F"/>
    <w:rsid w:val="00EA794F"/>
    <w:rsid w:val="00EB3BDC"/>
    <w:rsid w:val="00EB4C11"/>
    <w:rsid w:val="00EB5A2A"/>
    <w:rsid w:val="00EC0270"/>
    <w:rsid w:val="00EC2FC5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3019"/>
    <w:rsid w:val="00F05E66"/>
    <w:rsid w:val="00F12709"/>
    <w:rsid w:val="00F15301"/>
    <w:rsid w:val="00F204BB"/>
    <w:rsid w:val="00F21C1B"/>
    <w:rsid w:val="00F24548"/>
    <w:rsid w:val="00F25C2A"/>
    <w:rsid w:val="00F27782"/>
    <w:rsid w:val="00F3059B"/>
    <w:rsid w:val="00F317DA"/>
    <w:rsid w:val="00F31B0F"/>
    <w:rsid w:val="00F31DE2"/>
    <w:rsid w:val="00F3224E"/>
    <w:rsid w:val="00F32314"/>
    <w:rsid w:val="00F323C6"/>
    <w:rsid w:val="00F332E7"/>
    <w:rsid w:val="00F3597C"/>
    <w:rsid w:val="00F41A2D"/>
    <w:rsid w:val="00F42E59"/>
    <w:rsid w:val="00F51604"/>
    <w:rsid w:val="00F51AEF"/>
    <w:rsid w:val="00F5725A"/>
    <w:rsid w:val="00F57C34"/>
    <w:rsid w:val="00F6083F"/>
    <w:rsid w:val="00F62FE8"/>
    <w:rsid w:val="00F6458B"/>
    <w:rsid w:val="00F6556C"/>
    <w:rsid w:val="00F656AA"/>
    <w:rsid w:val="00F67EBC"/>
    <w:rsid w:val="00F70DDD"/>
    <w:rsid w:val="00F7142E"/>
    <w:rsid w:val="00F71E4E"/>
    <w:rsid w:val="00F73301"/>
    <w:rsid w:val="00F74EE1"/>
    <w:rsid w:val="00F83C18"/>
    <w:rsid w:val="00F83FB2"/>
    <w:rsid w:val="00F84EF5"/>
    <w:rsid w:val="00F90D01"/>
    <w:rsid w:val="00F959F3"/>
    <w:rsid w:val="00F97AF7"/>
    <w:rsid w:val="00FA1857"/>
    <w:rsid w:val="00FA43B8"/>
    <w:rsid w:val="00FA454D"/>
    <w:rsid w:val="00FA498B"/>
    <w:rsid w:val="00FA73C8"/>
    <w:rsid w:val="00FB14EB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  <w:rsid w:val="02820F11"/>
    <w:rsid w:val="1FA826ED"/>
    <w:rsid w:val="1FCE6848"/>
    <w:rsid w:val="26C32C8E"/>
    <w:rsid w:val="28690F3A"/>
    <w:rsid w:val="293D3DDE"/>
    <w:rsid w:val="2EE01491"/>
    <w:rsid w:val="3B9E0297"/>
    <w:rsid w:val="3F1360C2"/>
    <w:rsid w:val="44D5434C"/>
    <w:rsid w:val="49E73194"/>
    <w:rsid w:val="5AC84089"/>
    <w:rsid w:val="5FC93D7A"/>
    <w:rsid w:val="63190004"/>
    <w:rsid w:val="6EAB6F5F"/>
    <w:rsid w:val="765F1874"/>
    <w:rsid w:val="7DE3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uiPriority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20"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824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4F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F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24F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sid w:val="00824F2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824F20"/>
    <w:rPr>
      <w:rFonts w:ascii="Courier New" w:hAnsi="Courier New" w:cs="Courier New"/>
    </w:rPr>
  </w:style>
  <w:style w:type="paragraph" w:styleId="a7">
    <w:name w:val="header"/>
    <w:basedOn w:val="a"/>
    <w:link w:val="a8"/>
    <w:rsid w:val="00824F20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824F20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  <w:sz w:val="22"/>
      <w:lang w:val="uk-UA"/>
    </w:rPr>
  </w:style>
  <w:style w:type="paragraph" w:styleId="ab">
    <w:name w:val="Body Text Indent"/>
    <w:basedOn w:val="a"/>
    <w:link w:val="ac"/>
    <w:qFormat/>
    <w:rsid w:val="00824F20"/>
    <w:pPr>
      <w:spacing w:after="120"/>
      <w:ind w:left="283"/>
    </w:pPr>
  </w:style>
  <w:style w:type="paragraph" w:styleId="ad">
    <w:name w:val="Normal (Web)"/>
    <w:basedOn w:val="a"/>
    <w:qFormat/>
    <w:rsid w:val="00824F20"/>
    <w:pPr>
      <w:spacing w:before="150" w:after="150"/>
    </w:pPr>
    <w:rPr>
      <w:rFonts w:ascii="Verdana" w:hAnsi="Verdana"/>
      <w:sz w:val="24"/>
      <w:szCs w:val="24"/>
    </w:rPr>
  </w:style>
  <w:style w:type="character" w:styleId="ae">
    <w:name w:val="Hyperlink"/>
    <w:basedOn w:val="a0"/>
    <w:unhideWhenUsed/>
    <w:qFormat/>
    <w:rsid w:val="00824F20"/>
    <w:rPr>
      <w:color w:val="0000FF" w:themeColor="hyperlink"/>
      <w:u w:val="single"/>
    </w:rPr>
  </w:style>
  <w:style w:type="character" w:styleId="af">
    <w:name w:val="page number"/>
    <w:basedOn w:val="a0"/>
    <w:rsid w:val="00824F20"/>
  </w:style>
  <w:style w:type="character" w:styleId="af0">
    <w:name w:val="Strong"/>
    <w:basedOn w:val="a0"/>
    <w:uiPriority w:val="22"/>
    <w:qFormat/>
    <w:rsid w:val="00824F20"/>
    <w:rPr>
      <w:b/>
      <w:bCs/>
    </w:rPr>
  </w:style>
  <w:style w:type="table" w:styleId="af1">
    <w:name w:val="Table Grid"/>
    <w:basedOn w:val="a1"/>
    <w:uiPriority w:val="59"/>
    <w:rsid w:val="0082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824F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824F2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4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82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 + Не полужирный"/>
    <w:rsid w:val="00824F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824F20"/>
    <w:rPr>
      <w:rFonts w:ascii="Arial Narrow" w:hAnsi="Arial Narrow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F20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sz w:val="15"/>
      <w:szCs w:val="15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824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24F2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4F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24F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4F20"/>
    <w:rPr>
      <w:color w:val="605E5C"/>
      <w:shd w:val="clear" w:color="auto" w:fill="E1DFDD"/>
    </w:rPr>
  </w:style>
  <w:style w:type="character" w:customStyle="1" w:styleId="32">
    <w:name w:val="Заголовок №3_"/>
    <w:basedOn w:val="a0"/>
    <w:rsid w:val="00824F20"/>
    <w:rPr>
      <w:b/>
      <w:bCs/>
      <w:lang w:eastAsia="ar-SA" w:bidi="ar-SA"/>
    </w:rPr>
  </w:style>
  <w:style w:type="character" w:customStyle="1" w:styleId="23">
    <w:name w:val="Основний текст (2)_"/>
    <w:basedOn w:val="a0"/>
    <w:rsid w:val="00824F20"/>
    <w:rPr>
      <w:lang w:eastAsia="ar-SA" w:bidi="ar-SA"/>
    </w:rPr>
  </w:style>
  <w:style w:type="paragraph" w:customStyle="1" w:styleId="12">
    <w:name w:val="Обычный1"/>
    <w:rsid w:val="00824F20"/>
    <w:pPr>
      <w:framePr w:wrap="around" w:hAnchor="text" w:yAlign="top"/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lang w:eastAsia="uk-UA"/>
    </w:rPr>
  </w:style>
  <w:style w:type="character" w:customStyle="1" w:styleId="af3">
    <w:name w:val="Немає"/>
    <w:rsid w:val="00824F20"/>
  </w:style>
  <w:style w:type="character" w:customStyle="1" w:styleId="Af4">
    <w:name w:val="Немає A"/>
    <w:qFormat/>
    <w:rsid w:val="00824F20"/>
  </w:style>
  <w:style w:type="character" w:customStyle="1" w:styleId="50">
    <w:name w:val="Заголовок 5 Знак"/>
    <w:basedOn w:val="a0"/>
    <w:link w:val="5"/>
    <w:rsid w:val="00824F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rsid w:val="00824F20"/>
    <w:rPr>
      <w:rFonts w:ascii="Bookman Old Style" w:eastAsia="Times New Roman" w:hAnsi="Bookman Old Style" w:cs="Times New Roman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24F20"/>
  </w:style>
  <w:style w:type="character" w:customStyle="1" w:styleId="dat0">
    <w:name w:val="dat0"/>
    <w:basedOn w:val="a0"/>
    <w:rsid w:val="00824F20"/>
  </w:style>
  <w:style w:type="character" w:customStyle="1" w:styleId="dat1">
    <w:name w:val="dat1"/>
    <w:basedOn w:val="a0"/>
    <w:rsid w:val="00824F20"/>
  </w:style>
  <w:style w:type="paragraph" w:customStyle="1" w:styleId="13">
    <w:name w:val="Знак Знак1 Знак"/>
    <w:basedOn w:val="a"/>
    <w:rsid w:val="00824F20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rvts44">
    <w:name w:val="rvts44"/>
    <w:basedOn w:val="a0"/>
    <w:rsid w:val="00824F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sp.gov.ua/" TargetMode="External"/><Relationship Id="rId18" Type="http://schemas.openxmlformats.org/officeDocument/2006/relationships/hyperlink" Target="https://library.ukma.edu.ua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mon.gov.ua/ua" TargetMode="External"/><Relationship Id="rId17" Type="http://schemas.openxmlformats.org/officeDocument/2006/relationships/hyperlink" Target="http://www.library.univ.kiev.ua/ukr/title4.php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b.rada.gov.ua/static/about/wellcom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u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buv.gov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sident.gov.ua" TargetMode="External"/><Relationship Id="rId19" Type="http://schemas.openxmlformats.org/officeDocument/2006/relationships/hyperlink" Target="http://library.iapm.edu.ua/" TargetMode="External"/><Relationship Id="rId4" Type="http://schemas.openxmlformats.org/officeDocument/2006/relationships/styles" Target="styles.xml"/><Relationship Id="rId9" Type="http://schemas.openxmlformats.org/officeDocument/2006/relationships/hyperlink" Target="http://zakon.rada.gov.ua" TargetMode="External"/><Relationship Id="rId14" Type="http://schemas.openxmlformats.org/officeDocument/2006/relationships/hyperlink" Target="https://www.me.gov.ua/?lang=uk-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4C3AB6-4E5E-4A78-8EF7-83B6475624A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2020-03-27T09:57:00Z</cp:lastPrinted>
  <dcterms:created xsi:type="dcterms:W3CDTF">2023-06-23T15:10:00Z</dcterms:created>
  <dcterms:modified xsi:type="dcterms:W3CDTF">2023-06-23T15:11:00Z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